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Kanonen er ladet med…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Hvad er der i historiekanonen?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Da elevernes arbejde med kanonpunkterne strækker sig over mange år, må man formode, at de har brug for at få genopfrisket disse.
</w:t>
      </w:r>
      <w:br/>
      <w:r>
        <w:rPr/>
        <w:t xml:space="preserve">
</w:t>
      </w:r>
      <w:br/>
      <w:r>
        <w:rPr/>
        <w:t xml:space="preserve">Dette forløb giver 5 forskellige bud på, hvordan eleverne kan repetere og arbejde med historiekanonen gennem spil, leg og bevægelse. Det forudsættes, at eleverne i større eller mindre omfang har arbejdet med samtlige eller de fleste kanonpunkter, da der ikke arbejdes i dybden med det faglige indhold for de enkelte kanonpunkter. 
</w:t>
      </w:r>
      <w:br/>
      <w:r>
        <w:rPr/>
        <w:t xml:space="preserve">
</w:t>
      </w:r>
      <w:br/>
      <w:r>
        <w:rPr/>
        <w:t xml:space="preserve">Der er flere forskellige bud på, hvordan man i korte forløb af 1 lektions varighed kan arbejde med historiekanonen. Eksempel 1 og 4 bygger på kronologi, eksempel 2 og 3 bygger på at identificere kanonpunkterne, mens eksempel 5 bygger på inddeling efter principper.
</w:t>
      </w:r>
      <w:br/>
      <w:r>
        <w:rPr/>
        <w:t xml:space="preserve">
</w:t>
      </w:r>
      <w:br/>
      <w:r>
        <w:rPr/>
        <w:t xml:space="preserve">Forløbet kan også bruges til at skabe en overordnet viden om de enkelte kanonpunkter. Her egner eksempel 1 sig bedst, da den i modsætning til de andre ikke kræver den samme forforståelse. Herefter kan man vælge at bruge en eller flere af de andre fire eksempler. 
</w:t>
      </w:r>
      <w:br/>
      <w:r>
        <w:rPr/>
        <w:t xml:space="preserve">
</w:t>
      </w:r>
      <w:br/>
      <w:r>
        <w:rPr/>
        <w:t xml:space="preserve">Der lægges i alle fem eksempler op til, at kanonpunkterne skal fungere som trædesten og bidrage til absolut kronologi og hjælpe dem på vej i forhold til at kunne inddele efter principper for overblik. I sig selv er forløbene ikke kompetenceudviklende, men giver en god viden, der kan skabe grobund for kompetenceudvikling i andre forløb.  Den enkelte lærer bør frit udplukke de aktiviteter, der fremmer et særligt formål og/eller er tilpasset elevgruppen baseret på deres forforståelse og viden.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højreklikke på lektionsplanen. 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Kort forløb (1-4 lekt.)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
</w:t>
      </w:r>
      <w:br/>
      <w:r>
        <w:rPr/>
        <w:t xml:space="preserve">Eleven kan på bagrund af et kronologisk overblik forklare, hvorledes samfund har udviklet sig under forskellige forudsætninger
</w:t>
      </w:r>
      <w:br/>
      <w:r>
        <w:rPr/>
        <w:t xml:space="preserve">
</w:t>
      </w:r>
      <w:br/>
      <w:r>
        <w:rPr/>
        <w:t xml:space="preserve">• Eleven kan bruge kanonpunkter til at skabe historisk overblik og sammenhængsforståelse
</w:t>
      </w:r>
      <w:br/>
      <w:r>
        <w:rPr/>
        <w:t xml:space="preserve">• Eleven har viden om kanonpunkter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Tanja Andersen, Tidslinjeopgave (Bilag 1). Tekstdelen er kopieret direkte fra vejledningen til historie.</w:t>
      </w:r>
    </w:p>
    <w:p>
      <w:pPr/>
      <w:r>
        <w:rPr/>
        <w:t xml:space="preserve">Tanja Andersen, Vendespil (Bilag 2)</w:t>
      </w:r>
    </w:p>
    <w:p>
      <w:pPr/>
      <w:r>
        <w:rPr/>
        <w:t xml:space="preserve">Tanja Andersen, Rend efter kanonen (Bilag 3)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2024-04-25T18:13:49+00:00</dcterms:created>
  <dcterms:modified xsi:type="dcterms:W3CDTF">2024-04-25T18:13:49+00:00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