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Kirken i staten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Hvordan skal forholdet mellem kirke og stat være?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I Danmark har den evangelisk-lutherske kirke en særlig status i landets grundlov. Hvor kan dette forhold have sit udspring, og hvordan skal vi forholde os til denne sammenkædning af det gejstlige og det verdslige i moderne tid? 
</w:t>
      </w:r>
      <w:br/>
      <w:r>
        <w:rPr/>
        <w:t xml:space="preserve">
</w:t>
      </w:r>
      <w:br/>
      <w:r>
        <w:rPr/>
        <w:t xml:space="preserve">I samarbejde med faget kristendomskundskab tages eleverne tilbage i tiden omkring renæssancen og via reformationen frem til Grundlovens indførelse i 1849. Eleverne vil fra forløbets start blive udfordret i egne holdninger og erfaringer med begreberne magt og tro. Udover almindelig tekstlæsning bliver eleverne præsenteret for både musikvideo, spillefilmklip, dokumentarfilm og kildearbejde. 
</w:t>
      </w:r>
      <w:br/>
      <w:r>
        <w:rPr/>
        <w:t xml:space="preserve">
</w:t>
      </w:r>
      <w:br/>
      <w:r>
        <w:rPr/>
        <w:t xml:space="preserve">På baggrund af denne forståelse bringes eleverne til at reflektere over og tage personligt stilling til, hvordan kirkens position i staten skal være i fremtiden.
</w:t>
      </w:r>
      <w:br/>
      <w:r>
        <w:rPr/>
        <w:t xml:space="preserve">
</w:t>
      </w:r>
      <w:br/>
      <w:r>
        <w:rPr/>
        <w:t xml:space="preserve">Forløbet er udarbejdet af Michael G.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7. - 9.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Længere forløb (9-14 lekt.)</w:t>
      </w:r>
    </w:p>
    <w:p>
      <w:pPr>
        <w:spacing w:after="0"/>
      </w:pPr>
      <w:r>
        <w:rPr>
          <w:rStyle w:val="header2"/>
        </w:rPr>
        <w:t xml:space="preserve">Indeholder også</w:t>
      </w:r>
    </w:p>
    <w:p>
      <w:pPr/>
      <w:r>
        <w:rPr/>
        <w:t xml:space="preserve">Tværfagligt forløb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INDEN FOR FAGET HISTORIE:
</w:t>
      </w:r>
      <w:br/>
      <w:r>
        <w:rPr/>
        <w:t xml:space="preserve">HISTORIEBRUG 
</w:t>
      </w:r>
      <w:br/>
      <w:r>
        <w:rPr/>
        <w:t xml:space="preserve">Eleven kan forklare samspil mellem fortid, nutid og fremtid
</w:t>
      </w:r>
      <w:br/>
      <w:r>
        <w:rPr/>
        <w:t xml:space="preserve">•	Eleven kan redegøre for sammenhænge mellem fortidsfortolkninger, nutidsforståelser og fremtidsforventninger 
</w:t>
      </w:r>
      <w:br/>
      <w:r>
        <w:rPr/>
        <w:t xml:space="preserve">•	Eleven har viden om sammenhænge mellem fortidsfortolkninger, nutidsforståelser og fremtidsforventninger
</w:t>
      </w:r>
      <w:br/>
      <w:r>
        <w:rPr/>
        <w:t xml:space="preserve"> 
</w:t>
      </w:r>
      <w:br/>
      <w:r>
        <w:rPr/>
        <w:t xml:space="preserve">KRONOLOGI OG SAMMENHÆNG
</w:t>
      </w:r>
      <w:br/>
      <w:r>
        <w:rPr/>
        <w:t xml:space="preserve">Eleven kan på baggrund af et kronologisk overblik forklare, hvorledes samfund har forandret sig under forskellige sammenhænge
</w:t>
      </w:r>
      <w:br/>
      <w:r>
        <w:rPr/>
        <w:t xml:space="preserve">•	Eleven kan forklare hvorfor historisk udvikling i perioder var præget af kontinuitet og i andre af brud 
</w:t>
      </w:r>
      <w:br/>
      <w:r>
        <w:rPr/>
        <w:t xml:space="preserve">•	Eleven har viden om historisk udvikling 
</w:t>
      </w:r>
      <w:br/>
      <w:r>
        <w:rPr/>
        <w:t xml:space="preserve"> 
</w:t>
      </w:r>
      <w:br/>
      <w:r>
        <w:rPr/>
        <w:t xml:space="preserve">
</w:t>
      </w:r>
      <w:br/>
      <w:r>
        <w:rPr/>
        <w:t xml:space="preserve">INDEN FOR FAGET KRISTENDOMSKUNDSKAB:
</w:t>
      </w:r>
      <w:br/>
      <w:r>
        <w:rPr/>
        <w:t xml:space="preserve">KRISTENDOM
</w:t>
      </w:r>
      <w:br/>
      <w:r>
        <w:rPr/>
        <w:t xml:space="preserve">Eleven kan forholde sig til, hvad kristendom er og til hovedtræk i kristendommens historie, herunder folkekirkens betydning i Danmark
</w:t>
      </w:r>
      <w:br/>
      <w:r>
        <w:rPr/>
        <w:t xml:space="preserve">•	Eleven kan reflektere over kristendommens udvikling og folkekirkens betydning i Danmark 
</w:t>
      </w:r>
      <w:br/>
      <w:r>
        <w:rPr/>
        <w:t xml:space="preserve">•	Eleven har viden om hovedtræk i kristendomens historie og folkekirken 
</w:t>
      </w:r>
      <w:br/>
      <w:r>
        <w:rPr/>
        <w:t xml:space="preserve"> 
</w:t>
      </w:r>
      <w:br/>
      <w:r>
        <w:rPr/>
        <w:t xml:space="preserve">LIVSFILOSOFI OG ETIK  
</w:t>
      </w:r>
      <w:br/>
      <w:r>
        <w:rPr/>
        <w:t xml:space="preserve">Eleven kan forholde sig til den religiøse dimensions indhold og betydning ud fra grundlæggende tilværelsesspørgsmål og etiske principper
</w:t>
      </w:r>
      <w:br/>
      <w:r>
        <w:rPr/>
        <w:t xml:space="preserve">•	Eleven kan reflektere over betydningen af den religiøse dimension i grundlæggende tilværelsesspørgsmål 
</w:t>
      </w:r>
      <w:br/>
      <w:r>
        <w:rPr/>
        <w:t xml:space="preserve">•	Eleven har viden om trosvalg i forhold til grundlæggende tilværelsesspørgsmål
</w:t>
      </w:r>
      <w:br/>
      <w:r>
        <w:rPr/>
        <w:t xml:space="preserve"> 
</w:t>
      </w:r>
      <w:br/>
      <w:r>
        <w:rPr/>
        <w:t xml:space="preserve"> 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Bulldog Productions (2008): 95 Theses Rap, http://genius.com/Bulldog-productions-95-theses-rap-lyrics</w:t>
      </w:r>
    </w:p>
    <w:p>
      <w:pPr/>
      <w:r>
        <w:rPr/>
        <w:t xml:space="preserve">Danmark Riges Grundlov, Folketingets hjemmeside www.ft.dk (kan hentes som PDF) – fokus på § 4, 6, 66, 67, 68, 69 og 70</w:t>
      </w:r>
    </w:p>
    <w:p>
      <w:pPr/>
      <w:r>
        <w:rPr/>
        <w:t xml:space="preserve">Poulsen, Jens Aage: Det historiske overblik – Renæssance og reformation (side 116-130), Gyldendal 2007 (DHO)</w:t>
      </w:r>
    </w:p>
    <w:p>
      <w:pPr/>
      <w:r>
        <w:rPr/>
        <w:t xml:space="preserve">Historiefaget (www.historiefaget.dk): Tidsperioder – Renæssancen og Emner – Reformationen, Clio Online</w:t>
      </w:r>
    </w:p>
    <w:p>
      <w:pPr/>
      <w:r>
        <w:rPr/>
        <w:t xml:space="preserve">Europa begynder at tænke (TV dokumentar, 45 min.), del af serien Europas historie og vist på DR Kultur d. 28/03 2011, kan evt. lånes på CFU</w:t>
      </w:r>
    </w:p>
    <w:p>
      <w:pPr/>
      <w:r>
        <w:rPr/>
        <w:t xml:space="preserve">Till, Eric (2003): Luther. Spillefilm, som kan hentes via filmcentralen.dk (kræver UNI-login). Spilletid 2 t 3 min.</w:t>
      </w:r>
    </w:p>
    <w:p>
      <w:pPr/>
      <w:r>
        <w:rPr/>
        <w:t xml:space="preserve">Martin Luther, liv og skrifter: Hjemmeside http://www.martinluther.dk/index.htm med kilder på dansk</w:t>
      </w:r>
    </w:p>
    <w:p>
      <w:pPr/>
      <w:r>
        <w:rPr/>
        <w:t xml:space="preserve">Grue, Astrid: Folkekirkens placering i forhold stat og samfund http://www.faktalink.dk/titelliste/foki/fokiform , Faktalink 2011 (Folkekirkens placering)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2024-04-26T13:32:43+00:00</dcterms:created>
  <dcterms:modified xsi:type="dcterms:W3CDTF">2024-04-26T13:32:43+00:00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