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0" w:rsidRPr="00CC4D02" w:rsidRDefault="009C7178">
      <w:bookmarkStart w:id="0" w:name="_GoBack"/>
      <w:bookmarkEnd w:id="0"/>
      <w:r w:rsidRPr="00CC4D02">
        <w:t>Ældre historiebøger og besættelsen</w:t>
      </w:r>
    </w:p>
    <w:tbl>
      <w:tblPr>
        <w:tblStyle w:val="Tabel-Gitter"/>
        <w:tblW w:w="0" w:type="auto"/>
        <w:tblLook w:val="04A0" w:firstRow="1" w:lastRow="0" w:firstColumn="1" w:lastColumn="0" w:noHBand="0" w:noVBand="1"/>
      </w:tblPr>
      <w:tblGrid>
        <w:gridCol w:w="2263"/>
        <w:gridCol w:w="4375"/>
        <w:gridCol w:w="4375"/>
        <w:gridCol w:w="4375"/>
      </w:tblGrid>
      <w:tr w:rsidR="00CC4D02" w:rsidRPr="00CC4D02" w:rsidTr="009C7178">
        <w:tc>
          <w:tcPr>
            <w:tcW w:w="2263" w:type="dxa"/>
          </w:tcPr>
          <w:p w:rsidR="009C7178" w:rsidRPr="00CC4D02" w:rsidRDefault="009C7178">
            <w:pPr>
              <w:rPr>
                <w:b/>
                <w:sz w:val="24"/>
              </w:rPr>
            </w:pPr>
            <w:r w:rsidRPr="00CC4D02">
              <w:rPr>
                <w:b/>
                <w:sz w:val="24"/>
              </w:rPr>
              <w:t>Tematik</w:t>
            </w:r>
          </w:p>
        </w:tc>
        <w:tc>
          <w:tcPr>
            <w:tcW w:w="4375" w:type="dxa"/>
          </w:tcPr>
          <w:p w:rsidR="009C7178" w:rsidRPr="00CC4D02" w:rsidRDefault="009C7178">
            <w:pPr>
              <w:rPr>
                <w:b/>
                <w:sz w:val="24"/>
              </w:rPr>
            </w:pPr>
            <w:r w:rsidRPr="00CC4D02">
              <w:rPr>
                <w:b/>
                <w:sz w:val="24"/>
              </w:rPr>
              <w:t xml:space="preserve">Børge L. Barløse. </w:t>
            </w:r>
            <w:r w:rsidRPr="00CC4D02">
              <w:rPr>
                <w:b/>
                <w:i/>
                <w:sz w:val="24"/>
              </w:rPr>
              <w:t>Folkeskolens Danmarkshistorie og fortællinger fra Verdenshistorien</w:t>
            </w:r>
            <w:r w:rsidRPr="00CC4D02">
              <w:rPr>
                <w:b/>
                <w:sz w:val="24"/>
              </w:rPr>
              <w:t>. 1953 (s. 159-163)</w:t>
            </w:r>
          </w:p>
        </w:tc>
        <w:tc>
          <w:tcPr>
            <w:tcW w:w="4375" w:type="dxa"/>
          </w:tcPr>
          <w:p w:rsidR="009C7178" w:rsidRPr="00CC4D02" w:rsidRDefault="004A459F">
            <w:pPr>
              <w:rPr>
                <w:b/>
                <w:sz w:val="24"/>
              </w:rPr>
            </w:pPr>
            <w:r w:rsidRPr="00CC4D02">
              <w:rPr>
                <w:b/>
                <w:sz w:val="24"/>
              </w:rPr>
              <w:t xml:space="preserve">Børge Dybmose og Knud Frederiksen. </w:t>
            </w:r>
            <w:r w:rsidRPr="00CC4D02">
              <w:rPr>
                <w:b/>
                <w:i/>
                <w:sz w:val="24"/>
              </w:rPr>
              <w:t xml:space="preserve">Historiebog for 7. klasse. 1914 til 1965. </w:t>
            </w:r>
            <w:r w:rsidRPr="00CC4D02">
              <w:rPr>
                <w:b/>
                <w:sz w:val="24"/>
              </w:rPr>
              <w:t>1966 (s. 79-91)</w:t>
            </w:r>
          </w:p>
        </w:tc>
        <w:tc>
          <w:tcPr>
            <w:tcW w:w="4375" w:type="dxa"/>
          </w:tcPr>
          <w:p w:rsidR="009C7178" w:rsidRPr="00CC4D02" w:rsidRDefault="00FB0382">
            <w:pPr>
              <w:rPr>
                <w:b/>
                <w:sz w:val="24"/>
              </w:rPr>
            </w:pPr>
            <w:r w:rsidRPr="00CC4D02">
              <w:rPr>
                <w:b/>
                <w:sz w:val="24"/>
              </w:rPr>
              <w:t xml:space="preserve">Claus Buttenschøn &amp; Olaf Ries. </w:t>
            </w:r>
            <w:r w:rsidRPr="00CC4D02">
              <w:rPr>
                <w:b/>
                <w:i/>
                <w:sz w:val="24"/>
              </w:rPr>
              <w:t>Ind i historien. Danmark og Verden</w:t>
            </w:r>
            <w:r w:rsidR="002E5F3C" w:rsidRPr="00CC4D02">
              <w:rPr>
                <w:b/>
                <w:i/>
                <w:sz w:val="24"/>
              </w:rPr>
              <w:t xml:space="preserve"> 3</w:t>
            </w:r>
            <w:r w:rsidRPr="00CC4D02">
              <w:rPr>
                <w:b/>
                <w:i/>
                <w:sz w:val="24"/>
              </w:rPr>
              <w:t xml:space="preserve">. </w:t>
            </w:r>
            <w:r w:rsidRPr="00CC4D02">
              <w:rPr>
                <w:b/>
                <w:sz w:val="24"/>
              </w:rPr>
              <w:t>1995</w:t>
            </w:r>
            <w:r w:rsidR="002E5F3C" w:rsidRPr="00CC4D02">
              <w:rPr>
                <w:b/>
                <w:sz w:val="24"/>
              </w:rPr>
              <w:t xml:space="preserve"> (s. 110-122)</w:t>
            </w:r>
          </w:p>
        </w:tc>
      </w:tr>
      <w:tr w:rsidR="00CC4D02" w:rsidRPr="00CC4D02" w:rsidTr="009C7178">
        <w:tc>
          <w:tcPr>
            <w:tcW w:w="2263" w:type="dxa"/>
          </w:tcPr>
          <w:p w:rsidR="009C7178" w:rsidRPr="00CC4D02" w:rsidRDefault="009C7178">
            <w:pPr>
              <w:rPr>
                <w:b/>
                <w:sz w:val="24"/>
              </w:rPr>
            </w:pPr>
            <w:r w:rsidRPr="00CC4D02">
              <w:rPr>
                <w:b/>
                <w:sz w:val="24"/>
              </w:rPr>
              <w:t>9. april 1940</w:t>
            </w:r>
          </w:p>
        </w:tc>
        <w:tc>
          <w:tcPr>
            <w:tcW w:w="4375" w:type="dxa"/>
          </w:tcPr>
          <w:p w:rsidR="009C7178" w:rsidRPr="00CC4D02" w:rsidRDefault="009C7178">
            <w:pPr>
              <w:rPr>
                <w:sz w:val="20"/>
                <w:szCs w:val="20"/>
              </w:rPr>
            </w:pPr>
            <w:r w:rsidRPr="00CC4D02">
              <w:rPr>
                <w:sz w:val="20"/>
                <w:szCs w:val="20"/>
              </w:rPr>
              <w:t xml:space="preserve">Da farvandende omkring Østersøen i foråret 1940 var ved at være isfri, fik tyske tropper ordre til at angribe Danmark og Norge. Overfaldet kom som lyn fra en klar himmel. Ved daggry den 9. april blev grænsen overskredet samtidig med, at tyske </w:t>
            </w:r>
            <w:proofErr w:type="spellStart"/>
            <w:r w:rsidRPr="00CC4D02">
              <w:rPr>
                <w:sz w:val="20"/>
                <w:szCs w:val="20"/>
              </w:rPr>
              <w:t>kampflymaskiner</w:t>
            </w:r>
            <w:proofErr w:type="spellEnd"/>
            <w:r w:rsidRPr="00CC4D02">
              <w:rPr>
                <w:sz w:val="20"/>
                <w:szCs w:val="20"/>
              </w:rPr>
              <w:t xml:space="preserve"> strøg ind over byerne. Enkelte steder i Sønderjylland ydede afdelinger af den danske hær tappert modstand, men efter få timers forløb blev der givet ordre til at indstille den håbløse kamp. Regeringen, der samledes på Amalienborg i de første morgentimer, bøjede sig under protest for de tyske krav, der gik ud på, at Danmark skulle opgive enhver modstand og lade sig besætte af tyske tropper. </w:t>
            </w:r>
          </w:p>
        </w:tc>
        <w:tc>
          <w:tcPr>
            <w:tcW w:w="4375" w:type="dxa"/>
          </w:tcPr>
          <w:p w:rsidR="009C7178" w:rsidRPr="00CC4D02" w:rsidRDefault="004A459F">
            <w:pPr>
              <w:rPr>
                <w:sz w:val="20"/>
              </w:rPr>
            </w:pPr>
            <w:r w:rsidRPr="00CC4D02">
              <w:rPr>
                <w:sz w:val="20"/>
              </w:rPr>
              <w:t>Allerede den 4. april og de følgende dage havde Danmarks gesandt i Berlin sendt strengt hemmelige meddelelser hjem til regeringen. Det var rygter om, at tyske tropper og skibe lå klar til et angreb på Norge – og måske også Danmark</w:t>
            </w:r>
            <w:r w:rsidR="001F6565" w:rsidRPr="00CC4D02">
              <w:rPr>
                <w:sz w:val="20"/>
              </w:rPr>
              <w:t xml:space="preserve"> […]</w:t>
            </w:r>
          </w:p>
          <w:p w:rsidR="001F6565" w:rsidRPr="00CC4D02" w:rsidRDefault="001F6565">
            <w:pPr>
              <w:rPr>
                <w:sz w:val="20"/>
              </w:rPr>
            </w:pPr>
          </w:p>
          <w:p w:rsidR="001F6565" w:rsidRPr="00CC4D02" w:rsidRDefault="001F6565">
            <w:pPr>
              <w:rPr>
                <w:sz w:val="20"/>
              </w:rPr>
            </w:pPr>
            <w:r w:rsidRPr="00CC4D02">
              <w:rPr>
                <w:sz w:val="20"/>
              </w:rPr>
              <w:t xml:space="preserve">Den 4. april om morgenen lagde to tyske skibe ind ved Langelinie i København. Uden at møde modstand, var de sejlet forbi de danske søforter og ind i havnen. Samtidig telefonerede den tyske gesandt til udenrigsministeriet. Inden 20 minutter </w:t>
            </w:r>
            <w:r w:rsidRPr="00CC4D02">
              <w:rPr>
                <w:i/>
                <w:sz w:val="20"/>
              </w:rPr>
              <w:t xml:space="preserve">måtte </w:t>
            </w:r>
            <w:r w:rsidRPr="00CC4D02">
              <w:rPr>
                <w:sz w:val="20"/>
              </w:rPr>
              <w:t xml:space="preserve">han tale med den danske udenrigsminister. Han fik samtalen og meddelte, at tyske tropper netop nu var i gang med at besætte Danmark og Norge for at beskytte os mod et engelsk-fransk angreb, som tyskerne vidste, at vi ikke kunne forsvare os imod – sagde han. Al modstand mod tyskerne måtte straks standse, ellers ville København blive </w:t>
            </w:r>
            <w:r w:rsidR="00FB0382" w:rsidRPr="00CC4D02">
              <w:rPr>
                <w:sz w:val="20"/>
              </w:rPr>
              <w:t>bombarderet</w:t>
            </w:r>
            <w:r w:rsidRPr="00CC4D02">
              <w:rPr>
                <w:sz w:val="20"/>
              </w:rPr>
              <w:t xml:space="preserve"> fra luften. […]</w:t>
            </w:r>
          </w:p>
          <w:p w:rsidR="001F6565" w:rsidRPr="00CC4D02" w:rsidRDefault="001F6565">
            <w:pPr>
              <w:rPr>
                <w:sz w:val="20"/>
              </w:rPr>
            </w:pPr>
          </w:p>
          <w:p w:rsidR="001F6565" w:rsidRPr="00CC4D02" w:rsidRDefault="001F6565">
            <w:pPr>
              <w:rPr>
                <w:sz w:val="20"/>
              </w:rPr>
            </w:pPr>
            <w:r w:rsidRPr="00CC4D02">
              <w:rPr>
                <w:sz w:val="20"/>
              </w:rPr>
              <w:t>Samtidig var tyskerne gået over grænsen i Sønderjylland. Her mødte de sej modstand i flere timer. Men i det lange løb var det en håbløs opgave for de danske soldater at kæmpe mod overmagten.”</w:t>
            </w:r>
          </w:p>
        </w:tc>
        <w:tc>
          <w:tcPr>
            <w:tcW w:w="4375" w:type="dxa"/>
          </w:tcPr>
          <w:p w:rsidR="009C7178" w:rsidRPr="00CC4D02" w:rsidRDefault="002E5F3C">
            <w:r w:rsidRPr="00CC4D02">
              <w:rPr>
                <w:sz w:val="20"/>
              </w:rPr>
              <w:t>Den 9. april 1940 blev Danmark pludselig angrebet af Tyskland. Trods ikke-angrebspagten mellem de to lande, der var blev underskrevet den 31. maj 1939 overskred tyske grænsen tidliget om morgenen samtidig med, at faldskærmssoldater blev kastet ned ved stratetiske vigtige steder rundt om i landet. I København landsatte</w:t>
            </w:r>
            <w:r w:rsidR="00C00962" w:rsidRPr="00CC4D02">
              <w:rPr>
                <w:sz w:val="20"/>
              </w:rPr>
              <w:t xml:space="preserve"> et transportskib tyske soldater ved Langelinie, mens tunge bombefly kredsede over byen. Under truslen om et bombeangreb på hovedstaden gave regeringen efter nogle timers forløb ordre til, at al modstand skulle ophøre. Den tyske hær kunne uhindret rykke frem og besætte hele landet.</w:t>
            </w:r>
          </w:p>
        </w:tc>
      </w:tr>
      <w:tr w:rsidR="00CC4D02" w:rsidRPr="00CC4D02" w:rsidTr="009C7178">
        <w:tc>
          <w:tcPr>
            <w:tcW w:w="2263" w:type="dxa"/>
          </w:tcPr>
          <w:p w:rsidR="009C7178" w:rsidRPr="00CC4D02" w:rsidRDefault="004A459F">
            <w:pPr>
              <w:rPr>
                <w:b/>
                <w:sz w:val="24"/>
              </w:rPr>
            </w:pPr>
            <w:r w:rsidRPr="00CC4D02">
              <w:rPr>
                <w:b/>
                <w:sz w:val="24"/>
              </w:rPr>
              <w:t>Befolkningens syn på besættelsen</w:t>
            </w:r>
          </w:p>
        </w:tc>
        <w:tc>
          <w:tcPr>
            <w:tcW w:w="4375" w:type="dxa"/>
          </w:tcPr>
          <w:p w:rsidR="009C7178" w:rsidRPr="00CC4D02" w:rsidRDefault="004A459F">
            <w:pPr>
              <w:rPr>
                <w:sz w:val="20"/>
                <w:szCs w:val="20"/>
              </w:rPr>
            </w:pPr>
            <w:r w:rsidRPr="00CC4D02">
              <w:rPr>
                <w:sz w:val="20"/>
                <w:szCs w:val="20"/>
              </w:rPr>
              <w:t xml:space="preserve">Tyskerne havde nok tænkt sig, at det danske folk efterhånden ville finde sig roligt i besættelsen og samarbejde med Tyskland, så længe krigen varede; men deri tog de fejl. Ganske vist kunne vor regering og rigsdag vedblive at styre landet; men vi glemte ikke, at vi havde måttet bøje os for svig og overmagt. I tiden, der fulgte, fik et trofast dansk sindelag ofte udtryk i den måde, hvorpå tusinder af københavnere samlede sig om Christian d. Tiende, både ved festlige lejligheder og under hans </w:t>
            </w:r>
            <w:r w:rsidRPr="00CC4D02">
              <w:rPr>
                <w:sz w:val="20"/>
                <w:szCs w:val="20"/>
              </w:rPr>
              <w:lastRenderedPageBreak/>
              <w:t>daglige ridetur gennem hovedstaden.</w:t>
            </w:r>
          </w:p>
        </w:tc>
        <w:tc>
          <w:tcPr>
            <w:tcW w:w="4375" w:type="dxa"/>
          </w:tcPr>
          <w:p w:rsidR="009C7178" w:rsidRPr="00CC4D02" w:rsidRDefault="001F6565">
            <w:pPr>
              <w:rPr>
                <w:sz w:val="20"/>
              </w:rPr>
            </w:pPr>
            <w:r w:rsidRPr="00CC4D02">
              <w:rPr>
                <w:sz w:val="20"/>
              </w:rPr>
              <w:lastRenderedPageBreak/>
              <w:t xml:space="preserve">Regeringen havde taget ansvaret for overgivelsen. Men hvad sagde befolkningen? De fleste var fortvivlede. Mange skammede sig. Hvorfor kæmpede vi ikke ligesom normændene? Norge havde ikke bøjet sig, men erklæret tyskerne krig. Andre var bange, fordi det nazistiske Tyskland nu havde magten over Danmark. Hvad ville der ske med vore jødiske landsmænd, med vort folkestyre? Men inderste inde følte de fleste nok lettelse over, at vi undgik krig og ødelæggelse. Selv </w:t>
            </w:r>
            <w:r w:rsidRPr="00CC4D02">
              <w:rPr>
                <w:sz w:val="20"/>
              </w:rPr>
              <w:lastRenderedPageBreak/>
              <w:t>den voldsomste modstand havde alligevel ikke kunnet hindre besættelsen.</w:t>
            </w:r>
          </w:p>
        </w:tc>
        <w:tc>
          <w:tcPr>
            <w:tcW w:w="4375" w:type="dxa"/>
          </w:tcPr>
          <w:p w:rsidR="009C7178" w:rsidRPr="00CC4D02" w:rsidRDefault="00C00962">
            <w:pPr>
              <w:rPr>
                <w:sz w:val="20"/>
              </w:rPr>
            </w:pPr>
            <w:r w:rsidRPr="00CC4D02">
              <w:rPr>
                <w:sz w:val="20"/>
              </w:rPr>
              <w:lastRenderedPageBreak/>
              <w:t>For de fleste danskere kom besættelsen som et chok. De havde regnet med, at Danmark kunne holde sig neutralt ligesom under 1. verdenskrig.</w:t>
            </w:r>
          </w:p>
          <w:p w:rsidR="00C00962" w:rsidRPr="00CC4D02" w:rsidRDefault="00C00962">
            <w:pPr>
              <w:rPr>
                <w:sz w:val="20"/>
              </w:rPr>
            </w:pPr>
          </w:p>
          <w:p w:rsidR="00C00962" w:rsidRPr="00CC4D02" w:rsidRDefault="00C00962">
            <w:r w:rsidRPr="00CC4D02">
              <w:rPr>
                <w:sz w:val="20"/>
              </w:rPr>
              <w:t xml:space="preserve">Men efter nogen tids forløb fortsatte tilværelsen næsten normalt. Tyskerne lod den danske regering sidde, statsministeren hed stadig Stauning og kongen Christian 10. Politiet fortsatte sit arbejde, og fra regeringen kom der opfordring til at bevare roen og ikke yde modstand. De voksne gik på </w:t>
            </w:r>
            <w:r w:rsidRPr="00CC4D02">
              <w:rPr>
                <w:sz w:val="20"/>
              </w:rPr>
              <w:lastRenderedPageBreak/>
              <w:t>arbejde og børnene i skole, næsten som om intet var hændt. Kun de mange tyske soldater i gadebilledet fortalte, at noget var sket.</w:t>
            </w:r>
          </w:p>
        </w:tc>
      </w:tr>
      <w:tr w:rsidR="00CC4D02" w:rsidRPr="00CC4D02" w:rsidTr="009C7178">
        <w:tc>
          <w:tcPr>
            <w:tcW w:w="2263" w:type="dxa"/>
          </w:tcPr>
          <w:p w:rsidR="009C7178" w:rsidRPr="00CC4D02" w:rsidRDefault="004A459F">
            <w:pPr>
              <w:rPr>
                <w:b/>
                <w:sz w:val="24"/>
              </w:rPr>
            </w:pPr>
            <w:r w:rsidRPr="00CC4D02">
              <w:rPr>
                <w:b/>
                <w:sz w:val="24"/>
              </w:rPr>
              <w:lastRenderedPageBreak/>
              <w:t>Jødeaktionen oktober 1943</w:t>
            </w:r>
          </w:p>
        </w:tc>
        <w:tc>
          <w:tcPr>
            <w:tcW w:w="4375" w:type="dxa"/>
          </w:tcPr>
          <w:p w:rsidR="009C7178" w:rsidRPr="00CC4D02" w:rsidRDefault="004A459F">
            <w:pPr>
              <w:rPr>
                <w:sz w:val="20"/>
              </w:rPr>
            </w:pPr>
            <w:r w:rsidRPr="00CC4D02">
              <w:rPr>
                <w:sz w:val="20"/>
              </w:rPr>
              <w:t>I begyndelsen af oktober slog tysk politi og militær ned på en mængde danske statsborgere af jødisk afstamning. Heldigvis var en del af dem advaret på forhånd, men adskillige blev dog arresteret hin nat og slæbt af sted til koncentrationslejre i Tyskland.</w:t>
            </w:r>
          </w:p>
        </w:tc>
        <w:tc>
          <w:tcPr>
            <w:tcW w:w="4375" w:type="dxa"/>
          </w:tcPr>
          <w:p w:rsidR="009C7178" w:rsidRPr="00CC4D02" w:rsidRDefault="00FB0382">
            <w:pPr>
              <w:rPr>
                <w:sz w:val="20"/>
              </w:rPr>
            </w:pPr>
            <w:r w:rsidRPr="00CC4D02">
              <w:rPr>
                <w:sz w:val="20"/>
              </w:rPr>
              <w:t>Natten mellem 1. og 2. oktober skulle Danmarks 7000 jødiske borgere have været taget til fange. Heldigvis blev planen røbet af en hæderlig tysker. Jøderne blev advaret, og tusinder af jøder blev hemmeligt og under stor fare sendt til Sverige i de følgende uger. Men desværre var det lykkedes tyskerne at fange ca. 500 som blev sendt til en koncentrationslejr i Tyskland. 57 af dem døde dernede.</w:t>
            </w:r>
          </w:p>
        </w:tc>
        <w:tc>
          <w:tcPr>
            <w:tcW w:w="4375" w:type="dxa"/>
          </w:tcPr>
          <w:p w:rsidR="009C7178" w:rsidRPr="00CC4D02" w:rsidRDefault="00C00962">
            <w:r w:rsidRPr="00CC4D02">
              <w:rPr>
                <w:sz w:val="20"/>
              </w:rPr>
              <w:t>Efter direkte ordre fra Hitler ønskede tyskerne at arrestere de ca. 7.000 jøder i Danmark og sende dem til kz-lejre i Tyskland. En tysk embedsmand røbede dog planen til danskerne, og jøderne blev advaret. En storstilet redningsaktion bragte flertallet i sikkerhed i Sverige, og da tyskerne slog til natten mellem den 2. og 3. oktober 1943, lykkedes det dem kun at finde ca. 400 jøder. De blev sendt til kz-lejren Theresienstadt i det nuværende Tjekkiet, hvorfra mange aldrig vendte tilbage</w:t>
            </w:r>
            <w:r w:rsidRPr="00CC4D02">
              <w:t>.</w:t>
            </w:r>
          </w:p>
        </w:tc>
      </w:tr>
      <w:tr w:rsidR="004A459F" w:rsidRPr="00CC4D02" w:rsidTr="009C7178">
        <w:tc>
          <w:tcPr>
            <w:tcW w:w="2263" w:type="dxa"/>
          </w:tcPr>
          <w:p w:rsidR="004A459F" w:rsidRPr="00CC4D02" w:rsidRDefault="004A459F">
            <w:pPr>
              <w:rPr>
                <w:b/>
                <w:sz w:val="24"/>
              </w:rPr>
            </w:pPr>
            <w:r w:rsidRPr="00CC4D02">
              <w:rPr>
                <w:b/>
                <w:sz w:val="24"/>
              </w:rPr>
              <w:t>Tyske flygtninge</w:t>
            </w:r>
          </w:p>
        </w:tc>
        <w:tc>
          <w:tcPr>
            <w:tcW w:w="4375" w:type="dxa"/>
          </w:tcPr>
          <w:p w:rsidR="004A459F" w:rsidRPr="00CC4D02" w:rsidRDefault="004A459F">
            <w:pPr>
              <w:rPr>
                <w:sz w:val="20"/>
              </w:rPr>
            </w:pPr>
            <w:r w:rsidRPr="00CC4D02">
              <w:rPr>
                <w:sz w:val="20"/>
              </w:rPr>
              <w:t>Intet</w:t>
            </w:r>
          </w:p>
        </w:tc>
        <w:tc>
          <w:tcPr>
            <w:tcW w:w="4375" w:type="dxa"/>
          </w:tcPr>
          <w:p w:rsidR="004A459F" w:rsidRPr="00CC4D02" w:rsidRDefault="00FB0382">
            <w:r w:rsidRPr="00CC4D02">
              <w:rPr>
                <w:sz w:val="20"/>
              </w:rPr>
              <w:t>I krigens sidste uger væltede tyske flygtninge ind over Danmark i hundredtusindvis. Vi blev tvunget til at skaffe plads til dem i skoler og forsamlingshuse.</w:t>
            </w:r>
          </w:p>
        </w:tc>
        <w:tc>
          <w:tcPr>
            <w:tcW w:w="4375" w:type="dxa"/>
          </w:tcPr>
          <w:p w:rsidR="004A459F" w:rsidRPr="00CC4D02" w:rsidRDefault="00C00962">
            <w:r w:rsidRPr="00CC4D02">
              <w:rPr>
                <w:sz w:val="20"/>
              </w:rPr>
              <w:t>I krigens sidste år var flygtninge i tusindvis strømmet til Danmark, så der ved befrielsen var næsten 250.000. De fleste var tyskere på flugt for de fremrykkende sovjetiske tropper. Under besættelsen blev de indkvarteret i skoler over hele landet</w:t>
            </w:r>
            <w:r w:rsidR="00C82A03" w:rsidRPr="00CC4D02">
              <w:rPr>
                <w:sz w:val="20"/>
              </w:rPr>
              <w:t>, ofte under elendige forhold.</w:t>
            </w:r>
          </w:p>
        </w:tc>
      </w:tr>
      <w:tr w:rsidR="00CC4D02" w:rsidRPr="00CC4D02" w:rsidTr="009C7178">
        <w:tc>
          <w:tcPr>
            <w:tcW w:w="2263" w:type="dxa"/>
          </w:tcPr>
          <w:p w:rsidR="004A459F" w:rsidRPr="00CC4D02" w:rsidRDefault="004A459F">
            <w:pPr>
              <w:rPr>
                <w:b/>
                <w:sz w:val="24"/>
              </w:rPr>
            </w:pPr>
            <w:r w:rsidRPr="00CC4D02">
              <w:rPr>
                <w:b/>
                <w:sz w:val="24"/>
              </w:rPr>
              <w:t>Retsopgøret</w:t>
            </w:r>
          </w:p>
        </w:tc>
        <w:tc>
          <w:tcPr>
            <w:tcW w:w="4375" w:type="dxa"/>
          </w:tcPr>
          <w:p w:rsidR="004A459F" w:rsidRPr="00CC4D02" w:rsidRDefault="004A459F">
            <w:pPr>
              <w:rPr>
                <w:sz w:val="20"/>
              </w:rPr>
            </w:pPr>
            <w:r w:rsidRPr="00CC4D02">
              <w:rPr>
                <w:sz w:val="20"/>
              </w:rPr>
              <w:t>Intet</w:t>
            </w:r>
          </w:p>
        </w:tc>
        <w:tc>
          <w:tcPr>
            <w:tcW w:w="4375" w:type="dxa"/>
          </w:tcPr>
          <w:p w:rsidR="004A459F" w:rsidRPr="00CC4D02" w:rsidRDefault="00FB0382">
            <w:pPr>
              <w:rPr>
                <w:sz w:val="20"/>
              </w:rPr>
            </w:pPr>
            <w:r w:rsidRPr="00CC4D02">
              <w:rPr>
                <w:sz w:val="20"/>
              </w:rPr>
              <w:t>Regeringens første opgave gjaldt opgøret med landsforræderne. For at befolkningen ikke skulle begynde på private opgør, arresterede frihedsbevægelsen ca. 15.000 hipomænd, stikkere og andre, der på forskellig måde havde hjulpet eller støttet tyskerne under besættelsen.</w:t>
            </w:r>
          </w:p>
          <w:p w:rsidR="00FB0382" w:rsidRPr="00CC4D02" w:rsidRDefault="00FB0382">
            <w:pPr>
              <w:rPr>
                <w:sz w:val="20"/>
              </w:rPr>
            </w:pPr>
          </w:p>
          <w:p w:rsidR="00FB0382" w:rsidRPr="00CC4D02" w:rsidRDefault="00FB0382">
            <w:pPr>
              <w:rPr>
                <w:sz w:val="20"/>
              </w:rPr>
            </w:pPr>
            <w:r w:rsidRPr="00CC4D02">
              <w:rPr>
                <w:sz w:val="20"/>
              </w:rPr>
              <w:t>Rigsdagen vedtog en særlig straffelov, som indførte dødsstraf for de groveste forbrydelser fra besættelsestiden. Opgøret varede flere år. 46 blev henrettet og mange hundrede fik lange fængselsstraffe […]</w:t>
            </w:r>
          </w:p>
          <w:p w:rsidR="00FB0382" w:rsidRPr="00CC4D02" w:rsidRDefault="00FB0382">
            <w:pPr>
              <w:rPr>
                <w:sz w:val="20"/>
              </w:rPr>
            </w:pPr>
          </w:p>
          <w:p w:rsidR="00FB0382" w:rsidRPr="00CC4D02" w:rsidRDefault="00FB0382">
            <w:r w:rsidRPr="00CC4D02">
              <w:rPr>
                <w:sz w:val="20"/>
              </w:rPr>
              <w:t>Opgøret med alle disse mennesker foregik under lovlige og ordnede forhold. Men der var alligevel en del utilfredshed med det. Især mente mange, at de virkelig betydelige landsforrædere blev straffet alt for mildt</w:t>
            </w:r>
            <w:r w:rsidRPr="00CC4D02">
              <w:t>.</w:t>
            </w:r>
          </w:p>
        </w:tc>
        <w:tc>
          <w:tcPr>
            <w:tcW w:w="4375" w:type="dxa"/>
          </w:tcPr>
          <w:p w:rsidR="004A459F" w:rsidRPr="00CC4D02" w:rsidRDefault="00C82A03">
            <w:pPr>
              <w:rPr>
                <w:sz w:val="20"/>
              </w:rPr>
            </w:pPr>
            <w:r w:rsidRPr="00CC4D02">
              <w:rPr>
                <w:sz w:val="20"/>
              </w:rPr>
              <w:t>I juli 1945, to måneder efter befrielsen, vedtog Rigsdagen en ny lov. Den handlede om forbrydelser begået under besættelsen. Efter den lov blev de arresterede dømt. Loven genindførte dødsstraf for særligt alvorlige forbrydelser.</w:t>
            </w:r>
          </w:p>
          <w:p w:rsidR="00C82A03" w:rsidRPr="00CC4D02" w:rsidRDefault="00C82A03">
            <w:pPr>
              <w:rPr>
                <w:sz w:val="20"/>
              </w:rPr>
            </w:pPr>
          </w:p>
          <w:p w:rsidR="00C82A03" w:rsidRPr="00CC4D02" w:rsidRDefault="00C82A03">
            <w:r w:rsidRPr="00CC4D02">
              <w:rPr>
                <w:sz w:val="20"/>
              </w:rPr>
              <w:t>Der var en ophidset stemning i befolkningen. De fleste ønskede hurtige og hårde straffe over landsforræderne. De syntes, at alle, der havde hjulpet tyskerne, skulle straffes. Men den danske regering havde jo helt til august 1943 opfordret til samarbejde og fx anvist danskere arbejde på tyske byggerier, både her og i Tyskland. Det var et alvorligt problem.</w:t>
            </w:r>
          </w:p>
        </w:tc>
      </w:tr>
    </w:tbl>
    <w:p w:rsidR="009C7178" w:rsidRPr="00CC4D02" w:rsidRDefault="009C7178"/>
    <w:sectPr w:rsidR="009C7178" w:rsidRPr="00CC4D02" w:rsidSect="009C717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BD" w:rsidRDefault="005D71BD" w:rsidP="009C7178">
      <w:r>
        <w:separator/>
      </w:r>
    </w:p>
  </w:endnote>
  <w:endnote w:type="continuationSeparator" w:id="0">
    <w:p w:rsidR="005D71BD" w:rsidRDefault="005D71BD" w:rsidP="009C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BD" w:rsidRDefault="005D71BD" w:rsidP="009C7178">
      <w:r>
        <w:separator/>
      </w:r>
    </w:p>
  </w:footnote>
  <w:footnote w:type="continuationSeparator" w:id="0">
    <w:p w:rsidR="005D71BD" w:rsidRDefault="005D71BD" w:rsidP="009C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78" w:rsidRDefault="009C7178">
    <w:pPr>
      <w:pStyle w:val="Sidehoved"/>
    </w:pPr>
    <w:r>
      <w:t>Workshop 5: Det pinlige i fortiden og læremidlernes fortælling</w:t>
    </w:r>
  </w:p>
  <w:p w:rsidR="009C7178" w:rsidRDefault="009C717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78"/>
    <w:rsid w:val="00090E3E"/>
    <w:rsid w:val="001F2F09"/>
    <w:rsid w:val="001F6565"/>
    <w:rsid w:val="002E5F3C"/>
    <w:rsid w:val="0031621B"/>
    <w:rsid w:val="004A459F"/>
    <w:rsid w:val="005B2F90"/>
    <w:rsid w:val="005D71BD"/>
    <w:rsid w:val="009867ED"/>
    <w:rsid w:val="009C7178"/>
    <w:rsid w:val="00C00962"/>
    <w:rsid w:val="00C82A03"/>
    <w:rsid w:val="00CC4D02"/>
    <w:rsid w:val="00FB0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7178"/>
    <w:pPr>
      <w:tabs>
        <w:tab w:val="center" w:pos="4819"/>
        <w:tab w:val="right" w:pos="9638"/>
      </w:tabs>
    </w:pPr>
  </w:style>
  <w:style w:type="character" w:customStyle="1" w:styleId="SidehovedTegn">
    <w:name w:val="Sidehoved Tegn"/>
    <w:basedOn w:val="Standardskrifttypeiafsnit"/>
    <w:link w:val="Sidehoved"/>
    <w:uiPriority w:val="99"/>
    <w:rsid w:val="009C7178"/>
  </w:style>
  <w:style w:type="paragraph" w:styleId="Sidefod">
    <w:name w:val="footer"/>
    <w:basedOn w:val="Normal"/>
    <w:link w:val="SidefodTegn"/>
    <w:uiPriority w:val="99"/>
    <w:unhideWhenUsed/>
    <w:rsid w:val="009C7178"/>
    <w:pPr>
      <w:tabs>
        <w:tab w:val="center" w:pos="4819"/>
        <w:tab w:val="right" w:pos="9638"/>
      </w:tabs>
    </w:pPr>
  </w:style>
  <w:style w:type="character" w:customStyle="1" w:styleId="SidefodTegn">
    <w:name w:val="Sidefod Tegn"/>
    <w:basedOn w:val="Standardskrifttypeiafsnit"/>
    <w:link w:val="Sidefod"/>
    <w:uiPriority w:val="99"/>
    <w:rsid w:val="009C7178"/>
  </w:style>
  <w:style w:type="table" w:styleId="Tabel-Gitter">
    <w:name w:val="Table Grid"/>
    <w:basedOn w:val="Tabel-Normal"/>
    <w:uiPriority w:val="39"/>
    <w:rsid w:val="009C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7178"/>
    <w:pPr>
      <w:tabs>
        <w:tab w:val="center" w:pos="4819"/>
        <w:tab w:val="right" w:pos="9638"/>
      </w:tabs>
    </w:pPr>
  </w:style>
  <w:style w:type="character" w:customStyle="1" w:styleId="SidehovedTegn">
    <w:name w:val="Sidehoved Tegn"/>
    <w:basedOn w:val="Standardskrifttypeiafsnit"/>
    <w:link w:val="Sidehoved"/>
    <w:uiPriority w:val="99"/>
    <w:rsid w:val="009C7178"/>
  </w:style>
  <w:style w:type="paragraph" w:styleId="Sidefod">
    <w:name w:val="footer"/>
    <w:basedOn w:val="Normal"/>
    <w:link w:val="SidefodTegn"/>
    <w:uiPriority w:val="99"/>
    <w:unhideWhenUsed/>
    <w:rsid w:val="009C7178"/>
    <w:pPr>
      <w:tabs>
        <w:tab w:val="center" w:pos="4819"/>
        <w:tab w:val="right" w:pos="9638"/>
      </w:tabs>
    </w:pPr>
  </w:style>
  <w:style w:type="character" w:customStyle="1" w:styleId="SidefodTegn">
    <w:name w:val="Sidefod Tegn"/>
    <w:basedOn w:val="Standardskrifttypeiafsnit"/>
    <w:link w:val="Sidefod"/>
    <w:uiPriority w:val="99"/>
    <w:rsid w:val="009C7178"/>
  </w:style>
  <w:style w:type="table" w:styleId="Tabel-Gitter">
    <w:name w:val="Table Grid"/>
    <w:basedOn w:val="Tabel-Normal"/>
    <w:uiPriority w:val="39"/>
    <w:rsid w:val="009C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Charlotte Amalie Hvilshøj</cp:lastModifiedBy>
  <cp:revision>2</cp:revision>
  <cp:lastPrinted>2017-01-29T14:41:00Z</cp:lastPrinted>
  <dcterms:created xsi:type="dcterms:W3CDTF">2017-02-07T13:46:00Z</dcterms:created>
  <dcterms:modified xsi:type="dcterms:W3CDTF">2017-02-07T13:46:00Z</dcterms:modified>
</cp:coreProperties>
</file>