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DF" w:rsidRDefault="003900DF" w:rsidP="003900DF">
      <w:pPr>
        <w:pStyle w:val="Titel"/>
      </w:pPr>
      <w:r>
        <w:t xml:space="preserve">Lektionsplan: </w:t>
      </w:r>
      <w:proofErr w:type="spellStart"/>
      <w:r>
        <w:t>EUs</w:t>
      </w:r>
      <w:proofErr w:type="spellEnd"/>
      <w:r>
        <w:t xml:space="preserve"> historie</w:t>
      </w:r>
    </w:p>
    <w:p w:rsidR="003900DF" w:rsidRDefault="003900DF" w:rsidP="003900DF">
      <w:pPr>
        <w:spacing w:after="0"/>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2691"/>
        <w:gridCol w:w="2693"/>
        <w:gridCol w:w="2549"/>
        <w:gridCol w:w="3463"/>
        <w:gridCol w:w="3049"/>
      </w:tblGrid>
      <w:tr w:rsidR="003900DF" w:rsidRPr="00113043" w:rsidTr="000101E6">
        <w:tc>
          <w:tcPr>
            <w:tcW w:w="15452" w:type="dxa"/>
            <w:gridSpan w:val="6"/>
          </w:tcPr>
          <w:p w:rsidR="003900DF" w:rsidRPr="00113043" w:rsidRDefault="003900DF" w:rsidP="000101E6">
            <w:pPr>
              <w:spacing w:after="0" w:line="240" w:lineRule="auto"/>
              <w:jc w:val="center"/>
              <w:rPr>
                <w:b/>
                <w:sz w:val="32"/>
                <w:szCs w:val="32"/>
              </w:rPr>
            </w:pPr>
            <w:r w:rsidRPr="00113043">
              <w:rPr>
                <w:b/>
                <w:sz w:val="32"/>
                <w:szCs w:val="32"/>
              </w:rPr>
              <w:t>Lektionsplan</w:t>
            </w:r>
          </w:p>
        </w:tc>
      </w:tr>
      <w:tr w:rsidR="003900DF" w:rsidRPr="00113043" w:rsidTr="000101E6">
        <w:tc>
          <w:tcPr>
            <w:tcW w:w="1007" w:type="dxa"/>
          </w:tcPr>
          <w:p w:rsidR="003900DF" w:rsidRPr="00113043" w:rsidRDefault="003900DF" w:rsidP="000101E6">
            <w:pPr>
              <w:spacing w:after="0" w:line="240" w:lineRule="auto"/>
              <w:rPr>
                <w:sz w:val="16"/>
                <w:szCs w:val="16"/>
              </w:rPr>
            </w:pPr>
            <w:r w:rsidRPr="00113043">
              <w:rPr>
                <w:b/>
                <w:sz w:val="24"/>
                <w:szCs w:val="24"/>
              </w:rPr>
              <w:t>Modul</w:t>
            </w:r>
          </w:p>
        </w:tc>
        <w:tc>
          <w:tcPr>
            <w:tcW w:w="2691" w:type="dxa"/>
          </w:tcPr>
          <w:p w:rsidR="003900DF" w:rsidRPr="00113043" w:rsidRDefault="003900DF" w:rsidP="000101E6">
            <w:pPr>
              <w:spacing w:after="0" w:line="240" w:lineRule="auto"/>
              <w:rPr>
                <w:b/>
              </w:rPr>
            </w:pPr>
            <w:r w:rsidRPr="00113043">
              <w:rPr>
                <w:b/>
                <w:sz w:val="24"/>
                <w:szCs w:val="24"/>
              </w:rPr>
              <w:t>Indholdsmæssigt fokus</w:t>
            </w:r>
          </w:p>
        </w:tc>
        <w:tc>
          <w:tcPr>
            <w:tcW w:w="2693" w:type="dxa"/>
          </w:tcPr>
          <w:p w:rsidR="003900DF" w:rsidRPr="00113043" w:rsidRDefault="003900DF" w:rsidP="000101E6">
            <w:pPr>
              <w:spacing w:after="0" w:line="240" w:lineRule="auto"/>
            </w:pPr>
            <w:r w:rsidRPr="00113043">
              <w:rPr>
                <w:b/>
                <w:sz w:val="24"/>
                <w:szCs w:val="24"/>
              </w:rPr>
              <w:t>Færdighedsmål</w:t>
            </w:r>
          </w:p>
        </w:tc>
        <w:tc>
          <w:tcPr>
            <w:tcW w:w="2549" w:type="dxa"/>
          </w:tcPr>
          <w:p w:rsidR="003900DF" w:rsidRPr="00113043" w:rsidRDefault="003900DF" w:rsidP="000101E6">
            <w:pPr>
              <w:spacing w:after="0" w:line="240" w:lineRule="auto"/>
            </w:pPr>
            <w:r w:rsidRPr="00113043">
              <w:rPr>
                <w:b/>
                <w:sz w:val="24"/>
                <w:szCs w:val="24"/>
              </w:rPr>
              <w:t>Læringsmål</w:t>
            </w:r>
          </w:p>
        </w:tc>
        <w:tc>
          <w:tcPr>
            <w:tcW w:w="3463" w:type="dxa"/>
          </w:tcPr>
          <w:p w:rsidR="003900DF" w:rsidRPr="00113043" w:rsidRDefault="003900DF" w:rsidP="000101E6">
            <w:pPr>
              <w:spacing w:after="0" w:line="240" w:lineRule="auto"/>
            </w:pPr>
            <w:r w:rsidRPr="00113043">
              <w:rPr>
                <w:b/>
                <w:sz w:val="24"/>
                <w:szCs w:val="24"/>
              </w:rPr>
              <w:t>Undervisningsaktivitet</w:t>
            </w:r>
          </w:p>
        </w:tc>
        <w:tc>
          <w:tcPr>
            <w:tcW w:w="3049" w:type="dxa"/>
          </w:tcPr>
          <w:p w:rsidR="003900DF" w:rsidRPr="00113043" w:rsidRDefault="003900DF" w:rsidP="000101E6">
            <w:pPr>
              <w:spacing w:after="0" w:line="240" w:lineRule="auto"/>
              <w:rPr>
                <w:b/>
                <w:sz w:val="24"/>
                <w:szCs w:val="24"/>
              </w:rPr>
            </w:pPr>
            <w:r w:rsidRPr="00113043">
              <w:rPr>
                <w:b/>
                <w:sz w:val="24"/>
                <w:szCs w:val="24"/>
              </w:rPr>
              <w:t>Tegn på læring</w:t>
            </w:r>
          </w:p>
          <w:p w:rsidR="003900DF" w:rsidRPr="00113043" w:rsidRDefault="003900DF" w:rsidP="000101E6">
            <w:pPr>
              <w:spacing w:after="0" w:line="240" w:lineRule="auto"/>
            </w:pPr>
          </w:p>
        </w:tc>
      </w:tr>
      <w:tr w:rsidR="003900DF" w:rsidRPr="00113043" w:rsidTr="000101E6">
        <w:tc>
          <w:tcPr>
            <w:tcW w:w="1007" w:type="dxa"/>
          </w:tcPr>
          <w:p w:rsidR="003900DF" w:rsidRPr="00113043" w:rsidRDefault="003900DF" w:rsidP="000101E6">
            <w:pPr>
              <w:spacing w:after="0" w:line="240" w:lineRule="auto"/>
              <w:rPr>
                <w:sz w:val="20"/>
              </w:rPr>
            </w:pPr>
            <w:r w:rsidRPr="00113043">
              <w:rPr>
                <w:sz w:val="20"/>
              </w:rPr>
              <w:t>1</w:t>
            </w:r>
          </w:p>
          <w:p w:rsidR="003900DF" w:rsidRPr="00113043" w:rsidRDefault="003900DF" w:rsidP="000101E6">
            <w:pPr>
              <w:spacing w:after="0" w:line="240" w:lineRule="auto"/>
              <w:rPr>
                <w:sz w:val="20"/>
              </w:rPr>
            </w:pPr>
            <w:r>
              <w:rPr>
                <w:sz w:val="20"/>
              </w:rPr>
              <w:t>(1 lektion</w:t>
            </w:r>
            <w:r w:rsidRPr="00113043">
              <w:rPr>
                <w:sz w:val="20"/>
              </w:rPr>
              <w:t>)</w:t>
            </w:r>
          </w:p>
        </w:tc>
        <w:tc>
          <w:tcPr>
            <w:tcW w:w="2691" w:type="dxa"/>
          </w:tcPr>
          <w:p w:rsidR="003900DF" w:rsidRPr="00113043" w:rsidRDefault="003900DF" w:rsidP="000101E6">
            <w:pPr>
              <w:spacing w:after="0" w:line="240" w:lineRule="auto"/>
              <w:rPr>
                <w:sz w:val="20"/>
              </w:rPr>
            </w:pPr>
            <w:r>
              <w:rPr>
                <w:sz w:val="20"/>
              </w:rPr>
              <w:t>Forforståelse - Maastricht</w:t>
            </w:r>
          </w:p>
        </w:tc>
        <w:tc>
          <w:tcPr>
            <w:tcW w:w="2693" w:type="dxa"/>
          </w:tcPr>
          <w:p w:rsidR="003900DF" w:rsidRPr="00DC0B13" w:rsidRDefault="003900DF" w:rsidP="000101E6">
            <w:pPr>
              <w:spacing w:after="0" w:line="240" w:lineRule="auto"/>
              <w:rPr>
                <w:sz w:val="20"/>
                <w:szCs w:val="20"/>
              </w:rPr>
            </w:pPr>
            <w:r w:rsidRPr="00DC0B13">
              <w:rPr>
                <w:sz w:val="20"/>
                <w:szCs w:val="20"/>
              </w:rPr>
              <w:t>Eleven kan bruge kanonpunkter til at skabe historisk overblik og sammenhængsforståelse</w:t>
            </w:r>
          </w:p>
          <w:p w:rsidR="003900DF" w:rsidRPr="00113043" w:rsidRDefault="003900DF" w:rsidP="000101E6">
            <w:pPr>
              <w:spacing w:after="0" w:line="240" w:lineRule="auto"/>
              <w:rPr>
                <w:sz w:val="20"/>
              </w:rPr>
            </w:pPr>
          </w:p>
        </w:tc>
        <w:tc>
          <w:tcPr>
            <w:tcW w:w="2549" w:type="dxa"/>
          </w:tcPr>
          <w:p w:rsidR="003900DF" w:rsidRPr="00113043" w:rsidRDefault="003900DF" w:rsidP="000101E6">
            <w:pPr>
              <w:spacing w:after="0" w:line="240" w:lineRule="auto"/>
              <w:rPr>
                <w:sz w:val="20"/>
              </w:rPr>
            </w:pPr>
            <w:r w:rsidRPr="00113043">
              <w:rPr>
                <w:sz w:val="20"/>
              </w:rPr>
              <w:t>Eleven kan</w:t>
            </w:r>
          </w:p>
          <w:p w:rsidR="003900DF" w:rsidRDefault="003900DF" w:rsidP="000101E6">
            <w:pPr>
              <w:pStyle w:val="Listeafsnit"/>
              <w:numPr>
                <w:ilvl w:val="0"/>
                <w:numId w:val="1"/>
              </w:numPr>
              <w:spacing w:after="0" w:line="240" w:lineRule="auto"/>
              <w:ind w:left="176" w:hanging="176"/>
              <w:rPr>
                <w:sz w:val="20"/>
              </w:rPr>
            </w:pPr>
            <w:r>
              <w:rPr>
                <w:sz w:val="20"/>
              </w:rPr>
              <w:t>Redegøre for kanonpunktet ”Maastricht 1992”</w:t>
            </w:r>
          </w:p>
          <w:p w:rsidR="003900DF" w:rsidRPr="00113043" w:rsidRDefault="003900DF" w:rsidP="000101E6">
            <w:pPr>
              <w:pStyle w:val="Listeafsnit"/>
              <w:spacing w:after="0" w:line="240" w:lineRule="auto"/>
              <w:ind w:left="176"/>
              <w:rPr>
                <w:sz w:val="20"/>
              </w:rPr>
            </w:pPr>
          </w:p>
        </w:tc>
        <w:tc>
          <w:tcPr>
            <w:tcW w:w="3463" w:type="dxa"/>
          </w:tcPr>
          <w:p w:rsidR="003900DF" w:rsidRDefault="003900DF" w:rsidP="000101E6">
            <w:pPr>
              <w:pStyle w:val="Listeafsnit"/>
              <w:numPr>
                <w:ilvl w:val="0"/>
                <w:numId w:val="1"/>
              </w:numPr>
              <w:spacing w:after="0" w:line="240" w:lineRule="auto"/>
              <w:ind w:left="167" w:hanging="167"/>
              <w:rPr>
                <w:sz w:val="20"/>
              </w:rPr>
            </w:pPr>
            <w:r w:rsidRPr="002D05C2">
              <w:rPr>
                <w:sz w:val="20"/>
              </w:rPr>
              <w:t>Eleverne ser fælles kanonfilmen ”</w:t>
            </w:r>
            <w:proofErr w:type="spellStart"/>
            <w:r w:rsidRPr="002D05C2">
              <w:rPr>
                <w:sz w:val="20"/>
              </w:rPr>
              <w:t>Maastrich</w:t>
            </w:r>
            <w:proofErr w:type="spellEnd"/>
            <w:r w:rsidRPr="002D05C2">
              <w:rPr>
                <w:sz w:val="20"/>
              </w:rPr>
              <w:t xml:space="preserve"> </w:t>
            </w:r>
            <w:smartTag w:uri="urn:schemas-microsoft-com:office:smarttags" w:element="metricconverter">
              <w:smartTagPr>
                <w:attr w:name="ProductID" w:val="1992”"/>
              </w:smartTagPr>
              <w:r w:rsidRPr="002D05C2">
                <w:rPr>
                  <w:sz w:val="20"/>
                </w:rPr>
                <w:t>1992”</w:t>
              </w:r>
            </w:smartTag>
            <w:r w:rsidRPr="002D05C2">
              <w:rPr>
                <w:sz w:val="20"/>
              </w:rPr>
              <w:t xml:space="preserve"> </w:t>
            </w:r>
          </w:p>
          <w:p w:rsidR="003900DF" w:rsidRPr="002D05C2" w:rsidRDefault="003900DF" w:rsidP="000101E6">
            <w:pPr>
              <w:pStyle w:val="Listeafsnit"/>
              <w:numPr>
                <w:ilvl w:val="0"/>
                <w:numId w:val="1"/>
              </w:numPr>
              <w:spacing w:after="0" w:line="240" w:lineRule="auto"/>
              <w:ind w:left="167" w:hanging="167"/>
              <w:rPr>
                <w:sz w:val="20"/>
              </w:rPr>
            </w:pPr>
            <w:r w:rsidRPr="002D05C2">
              <w:rPr>
                <w:sz w:val="20"/>
              </w:rPr>
              <w:t>Eleverne præsenteres for forløbets problemstilling og læringsmål.</w:t>
            </w:r>
          </w:p>
          <w:p w:rsidR="003900DF" w:rsidRPr="00880338" w:rsidRDefault="003900DF" w:rsidP="000101E6">
            <w:pPr>
              <w:pStyle w:val="Listeafsnit"/>
              <w:numPr>
                <w:ilvl w:val="0"/>
                <w:numId w:val="1"/>
              </w:numPr>
              <w:spacing w:after="0" w:line="240" w:lineRule="auto"/>
              <w:ind w:left="167" w:hanging="142"/>
              <w:rPr>
                <w:sz w:val="20"/>
              </w:rPr>
            </w:pPr>
            <w:r w:rsidRPr="00880338">
              <w:rPr>
                <w:sz w:val="20"/>
              </w:rPr>
              <w:t>Eleverne læser</w:t>
            </w:r>
            <w:r>
              <w:rPr>
                <w:sz w:val="20"/>
              </w:rPr>
              <w:t xml:space="preserve"> individuelt eller i små grupper</w:t>
            </w:r>
            <w:r w:rsidRPr="00880338">
              <w:rPr>
                <w:sz w:val="20"/>
              </w:rPr>
              <w:t xml:space="preserve"> baggrundsartiklen ”Maastricht 1992” </w:t>
            </w:r>
          </w:p>
          <w:p w:rsidR="003900DF" w:rsidRPr="00113043" w:rsidRDefault="003900DF" w:rsidP="000101E6">
            <w:pPr>
              <w:pStyle w:val="Listeafsnit"/>
              <w:numPr>
                <w:ilvl w:val="0"/>
                <w:numId w:val="1"/>
              </w:numPr>
              <w:spacing w:after="0" w:line="240" w:lineRule="auto"/>
              <w:ind w:left="176" w:hanging="176"/>
              <w:rPr>
                <w:sz w:val="20"/>
              </w:rPr>
            </w:pPr>
            <w:r w:rsidRPr="00880338">
              <w:rPr>
                <w:sz w:val="20"/>
              </w:rPr>
              <w:t>Eleverne skriver</w:t>
            </w:r>
            <w:r>
              <w:rPr>
                <w:sz w:val="20"/>
              </w:rPr>
              <w:t xml:space="preserve"> individuelt </w:t>
            </w:r>
            <w:r w:rsidRPr="00880338">
              <w:rPr>
                <w:sz w:val="20"/>
              </w:rPr>
              <w:t xml:space="preserve">en kort tekst, hvor de opsummerer på, hvad de ved om kanonpunktet ”Maastricht </w:t>
            </w:r>
            <w:smartTag w:uri="urn:schemas-microsoft-com:office:smarttags" w:element="metricconverter">
              <w:smartTagPr>
                <w:attr w:name="ProductID" w:val="1992”"/>
              </w:smartTagPr>
              <w:r w:rsidRPr="00880338">
                <w:rPr>
                  <w:sz w:val="20"/>
                </w:rPr>
                <w:t>1992”</w:t>
              </w:r>
            </w:smartTag>
          </w:p>
        </w:tc>
        <w:tc>
          <w:tcPr>
            <w:tcW w:w="3049" w:type="dxa"/>
          </w:tcPr>
          <w:p w:rsidR="003900DF" w:rsidRPr="00113043" w:rsidRDefault="003900DF" w:rsidP="000101E6">
            <w:pPr>
              <w:pStyle w:val="Tabel-opstilling-punkttegn"/>
            </w:pPr>
          </w:p>
        </w:tc>
      </w:tr>
      <w:tr w:rsidR="003900DF" w:rsidRPr="00113043" w:rsidTr="000101E6">
        <w:tc>
          <w:tcPr>
            <w:tcW w:w="1007" w:type="dxa"/>
          </w:tcPr>
          <w:p w:rsidR="003900DF" w:rsidRPr="00113043" w:rsidRDefault="003900DF" w:rsidP="000101E6">
            <w:pPr>
              <w:spacing w:after="0" w:line="240" w:lineRule="auto"/>
              <w:rPr>
                <w:sz w:val="20"/>
              </w:rPr>
            </w:pPr>
            <w:r w:rsidRPr="00113043">
              <w:rPr>
                <w:sz w:val="20"/>
              </w:rPr>
              <w:t>2</w:t>
            </w:r>
          </w:p>
          <w:p w:rsidR="003900DF" w:rsidRPr="00113043" w:rsidRDefault="003900DF" w:rsidP="000101E6">
            <w:pPr>
              <w:spacing w:after="0" w:line="240" w:lineRule="auto"/>
              <w:rPr>
                <w:sz w:val="20"/>
              </w:rPr>
            </w:pPr>
            <w:r>
              <w:rPr>
                <w:sz w:val="20"/>
              </w:rPr>
              <w:t>(2 lektioner</w:t>
            </w:r>
            <w:r w:rsidRPr="00113043">
              <w:rPr>
                <w:sz w:val="20"/>
              </w:rPr>
              <w:t>)</w:t>
            </w:r>
          </w:p>
        </w:tc>
        <w:tc>
          <w:tcPr>
            <w:tcW w:w="2691" w:type="dxa"/>
          </w:tcPr>
          <w:p w:rsidR="003900DF" w:rsidRPr="00113043" w:rsidRDefault="003900DF" w:rsidP="000101E6">
            <w:pPr>
              <w:spacing w:after="0" w:line="240" w:lineRule="auto"/>
              <w:rPr>
                <w:sz w:val="20"/>
              </w:rPr>
            </w:pPr>
          </w:p>
        </w:tc>
        <w:tc>
          <w:tcPr>
            <w:tcW w:w="2693" w:type="dxa"/>
          </w:tcPr>
          <w:p w:rsidR="003900DF" w:rsidRPr="00A11FDD" w:rsidRDefault="003900DF" w:rsidP="000101E6">
            <w:pPr>
              <w:spacing w:after="0"/>
              <w:rPr>
                <w:sz w:val="20"/>
                <w:szCs w:val="20"/>
              </w:rPr>
            </w:pPr>
            <w:r w:rsidRPr="00A11FDD">
              <w:rPr>
                <w:sz w:val="20"/>
                <w:szCs w:val="20"/>
              </w:rPr>
              <w:t>Eleven kan forklare hvorfor historisk udvikling i perioder var præget af kontinuitet og i andre af brud</w:t>
            </w:r>
          </w:p>
          <w:p w:rsidR="003900DF" w:rsidRPr="00A11FDD" w:rsidRDefault="003900DF" w:rsidP="000101E6">
            <w:pPr>
              <w:spacing w:after="0" w:line="240" w:lineRule="auto"/>
              <w:rPr>
                <w:sz w:val="20"/>
                <w:szCs w:val="20"/>
              </w:rPr>
            </w:pPr>
          </w:p>
        </w:tc>
        <w:tc>
          <w:tcPr>
            <w:tcW w:w="2549" w:type="dxa"/>
          </w:tcPr>
          <w:p w:rsidR="003900DF" w:rsidRPr="00113043" w:rsidRDefault="003900DF" w:rsidP="000101E6">
            <w:pPr>
              <w:spacing w:after="0" w:line="240" w:lineRule="auto"/>
              <w:rPr>
                <w:sz w:val="20"/>
              </w:rPr>
            </w:pPr>
            <w:r w:rsidRPr="00113043">
              <w:rPr>
                <w:sz w:val="20"/>
              </w:rPr>
              <w:t>Eleven kan</w:t>
            </w:r>
          </w:p>
          <w:p w:rsidR="003900DF" w:rsidRPr="00113043" w:rsidRDefault="003900DF" w:rsidP="000101E6">
            <w:pPr>
              <w:pStyle w:val="Listeafsnit"/>
              <w:numPr>
                <w:ilvl w:val="0"/>
                <w:numId w:val="1"/>
              </w:numPr>
              <w:spacing w:after="0" w:line="240" w:lineRule="auto"/>
              <w:ind w:left="176" w:hanging="176"/>
              <w:rPr>
                <w:sz w:val="20"/>
              </w:rPr>
            </w:pPr>
            <w:r>
              <w:rPr>
                <w:sz w:val="20"/>
              </w:rPr>
              <w:t>Forklare, hvorfor og hvordan Kul- og stålunionen har udviklet sig, til det EU vi kender i dag.</w:t>
            </w:r>
          </w:p>
        </w:tc>
        <w:tc>
          <w:tcPr>
            <w:tcW w:w="3463" w:type="dxa"/>
          </w:tcPr>
          <w:p w:rsidR="003900DF" w:rsidRDefault="003900DF" w:rsidP="000101E6">
            <w:pPr>
              <w:pStyle w:val="Listeafsnit"/>
              <w:numPr>
                <w:ilvl w:val="0"/>
                <w:numId w:val="3"/>
              </w:numPr>
              <w:spacing w:after="0" w:line="240" w:lineRule="auto"/>
              <w:ind w:left="176" w:hanging="176"/>
              <w:rPr>
                <w:sz w:val="20"/>
              </w:rPr>
            </w:pPr>
            <w:r w:rsidRPr="00791014">
              <w:rPr>
                <w:sz w:val="20"/>
              </w:rPr>
              <w:t>Eleverne ser samlet videoen ”</w:t>
            </w:r>
            <w:r>
              <w:rPr>
                <w:sz w:val="20"/>
              </w:rPr>
              <w:t>EU´s historie</w:t>
            </w:r>
            <w:r w:rsidRPr="00791014">
              <w:rPr>
                <w:sz w:val="20"/>
              </w:rPr>
              <w:t>”</w:t>
            </w:r>
            <w:r>
              <w:rPr>
                <w:sz w:val="20"/>
              </w:rPr>
              <w:t xml:space="preserve">. </w:t>
            </w:r>
          </w:p>
          <w:p w:rsidR="003900DF" w:rsidRDefault="003900DF" w:rsidP="000101E6">
            <w:pPr>
              <w:pStyle w:val="Listeafsnit"/>
              <w:numPr>
                <w:ilvl w:val="0"/>
                <w:numId w:val="3"/>
              </w:numPr>
              <w:spacing w:after="0" w:line="240" w:lineRule="auto"/>
              <w:ind w:left="176" w:hanging="176"/>
              <w:rPr>
                <w:sz w:val="20"/>
              </w:rPr>
            </w:pPr>
            <w:r>
              <w:rPr>
                <w:sz w:val="20"/>
              </w:rPr>
              <w:t>Eleverne sendes ud på skattejagt og ser 3 videoer. Se ”øvrige gode råd og kommentar”</w:t>
            </w:r>
            <w:r w:rsidRPr="00791014">
              <w:rPr>
                <w:sz w:val="20"/>
              </w:rPr>
              <w:t xml:space="preserve">. </w:t>
            </w:r>
          </w:p>
          <w:p w:rsidR="003900DF" w:rsidRPr="00BA2009" w:rsidRDefault="003900DF" w:rsidP="000101E6">
            <w:pPr>
              <w:pStyle w:val="Listeafsnit"/>
              <w:numPr>
                <w:ilvl w:val="0"/>
                <w:numId w:val="3"/>
              </w:numPr>
              <w:spacing w:after="0" w:line="240" w:lineRule="auto"/>
              <w:ind w:left="176" w:hanging="176"/>
              <w:rPr>
                <w:sz w:val="20"/>
              </w:rPr>
            </w:pPr>
            <w:r>
              <w:rPr>
                <w:sz w:val="20"/>
              </w:rPr>
              <w:t>Evt. fælles opsamling og besvarelse af opgaverne fra skattejagten, hvor læreren evt. uddyber ting, som eleverne ikke forstår.</w:t>
            </w:r>
          </w:p>
        </w:tc>
        <w:tc>
          <w:tcPr>
            <w:tcW w:w="3049" w:type="dxa"/>
          </w:tcPr>
          <w:p w:rsidR="003900DF" w:rsidRPr="00113043" w:rsidRDefault="003900DF" w:rsidP="000101E6">
            <w:pPr>
              <w:spacing w:after="0" w:line="240" w:lineRule="auto"/>
              <w:rPr>
                <w:sz w:val="20"/>
              </w:rPr>
            </w:pPr>
          </w:p>
        </w:tc>
      </w:tr>
      <w:tr w:rsidR="003900DF" w:rsidRPr="00113043" w:rsidTr="000101E6">
        <w:tc>
          <w:tcPr>
            <w:tcW w:w="1007" w:type="dxa"/>
          </w:tcPr>
          <w:p w:rsidR="003900DF" w:rsidRPr="00113043" w:rsidRDefault="003900DF" w:rsidP="000101E6">
            <w:pPr>
              <w:spacing w:after="0" w:line="240" w:lineRule="auto"/>
              <w:rPr>
                <w:sz w:val="20"/>
              </w:rPr>
            </w:pPr>
            <w:r w:rsidRPr="00113043">
              <w:rPr>
                <w:sz w:val="20"/>
              </w:rPr>
              <w:t>3</w:t>
            </w:r>
          </w:p>
          <w:p w:rsidR="003900DF" w:rsidRPr="00113043" w:rsidRDefault="003900DF" w:rsidP="000101E6">
            <w:pPr>
              <w:spacing w:after="0" w:line="240" w:lineRule="auto"/>
              <w:rPr>
                <w:sz w:val="20"/>
              </w:rPr>
            </w:pPr>
            <w:r>
              <w:rPr>
                <w:sz w:val="20"/>
              </w:rPr>
              <w:t>(2 lektioner</w:t>
            </w:r>
            <w:r w:rsidRPr="00113043">
              <w:rPr>
                <w:sz w:val="20"/>
              </w:rPr>
              <w:t>)</w:t>
            </w:r>
          </w:p>
        </w:tc>
        <w:tc>
          <w:tcPr>
            <w:tcW w:w="2691" w:type="dxa"/>
          </w:tcPr>
          <w:p w:rsidR="003900DF" w:rsidRPr="00113043" w:rsidRDefault="003900DF" w:rsidP="000101E6">
            <w:pPr>
              <w:spacing w:after="0" w:line="240" w:lineRule="auto"/>
              <w:rPr>
                <w:sz w:val="20"/>
              </w:rPr>
            </w:pPr>
          </w:p>
        </w:tc>
        <w:tc>
          <w:tcPr>
            <w:tcW w:w="2693" w:type="dxa"/>
          </w:tcPr>
          <w:p w:rsidR="003900DF" w:rsidRPr="00A11FDD" w:rsidRDefault="003900DF" w:rsidP="000101E6">
            <w:pPr>
              <w:spacing w:after="0"/>
              <w:rPr>
                <w:sz w:val="20"/>
                <w:szCs w:val="20"/>
              </w:rPr>
            </w:pPr>
            <w:r w:rsidRPr="00A11FDD">
              <w:rPr>
                <w:sz w:val="20"/>
                <w:szCs w:val="20"/>
              </w:rPr>
              <w:t>Eleven kan redegøre for samspil mellem beslutningsprocesser i EU og i Danmark</w:t>
            </w:r>
          </w:p>
          <w:p w:rsidR="003900DF" w:rsidRPr="00A11FDD" w:rsidRDefault="003900DF" w:rsidP="000101E6">
            <w:pPr>
              <w:spacing w:after="0" w:line="240" w:lineRule="auto"/>
              <w:rPr>
                <w:sz w:val="20"/>
                <w:szCs w:val="20"/>
              </w:rPr>
            </w:pPr>
          </w:p>
        </w:tc>
        <w:tc>
          <w:tcPr>
            <w:tcW w:w="2549" w:type="dxa"/>
          </w:tcPr>
          <w:p w:rsidR="003900DF" w:rsidRPr="00113043" w:rsidRDefault="003900DF" w:rsidP="000101E6">
            <w:pPr>
              <w:spacing w:after="0" w:line="240" w:lineRule="auto"/>
              <w:rPr>
                <w:sz w:val="20"/>
              </w:rPr>
            </w:pPr>
            <w:r w:rsidRPr="00113043">
              <w:rPr>
                <w:sz w:val="20"/>
              </w:rPr>
              <w:t>Eleven kan</w:t>
            </w:r>
          </w:p>
          <w:p w:rsidR="003900DF" w:rsidRPr="00113043" w:rsidRDefault="003900DF" w:rsidP="000101E6">
            <w:pPr>
              <w:pStyle w:val="Listeafsnit"/>
              <w:numPr>
                <w:ilvl w:val="0"/>
                <w:numId w:val="1"/>
              </w:numPr>
              <w:spacing w:after="0" w:line="240" w:lineRule="auto"/>
              <w:ind w:left="176" w:hanging="176"/>
              <w:rPr>
                <w:sz w:val="20"/>
              </w:rPr>
            </w:pPr>
            <w:r>
              <w:rPr>
                <w:sz w:val="20"/>
              </w:rPr>
              <w:t>Redegøre for beslutningsprocessen i EU fra idé til loven bliver til virkelighed</w:t>
            </w:r>
          </w:p>
        </w:tc>
        <w:tc>
          <w:tcPr>
            <w:tcW w:w="3463" w:type="dxa"/>
          </w:tcPr>
          <w:p w:rsidR="003900DF" w:rsidRDefault="003900DF" w:rsidP="000101E6">
            <w:pPr>
              <w:pStyle w:val="Listeafsnit"/>
              <w:numPr>
                <w:ilvl w:val="0"/>
                <w:numId w:val="2"/>
              </w:numPr>
              <w:spacing w:after="0" w:line="240" w:lineRule="auto"/>
              <w:ind w:left="176" w:hanging="176"/>
              <w:rPr>
                <w:sz w:val="20"/>
              </w:rPr>
            </w:pPr>
            <w:r>
              <w:rPr>
                <w:sz w:val="20"/>
              </w:rPr>
              <w:t xml:space="preserve">Læreren gennemgår mere dybdegående </w:t>
            </w:r>
            <w:proofErr w:type="spellStart"/>
            <w:r>
              <w:rPr>
                <w:sz w:val="20"/>
              </w:rPr>
              <w:t>beslutnings-processerne</w:t>
            </w:r>
            <w:proofErr w:type="spellEnd"/>
            <w:r>
              <w:rPr>
                <w:sz w:val="20"/>
              </w:rPr>
              <w:t xml:space="preserve"> i EU og inddrager i den forbindelse de 3 videoer, som eleverne så, da de skulle lave aktiviteten ”Skattejagt”</w:t>
            </w:r>
          </w:p>
          <w:p w:rsidR="003900DF" w:rsidRPr="00E73A3A" w:rsidRDefault="003900DF" w:rsidP="000101E6">
            <w:pPr>
              <w:pStyle w:val="Listeafsnit"/>
              <w:numPr>
                <w:ilvl w:val="0"/>
                <w:numId w:val="2"/>
              </w:numPr>
              <w:spacing w:after="0" w:line="240" w:lineRule="auto"/>
              <w:ind w:left="176" w:hanging="176"/>
              <w:rPr>
                <w:sz w:val="20"/>
              </w:rPr>
            </w:pPr>
            <w:r>
              <w:rPr>
                <w:sz w:val="20"/>
              </w:rPr>
              <w:t xml:space="preserve">Eleverne laver en kort og simpel film, hvor de forklarer, hvordan en lov i EU vedtages. Filmen deles med læreren, </w:t>
            </w:r>
            <w:r>
              <w:rPr>
                <w:sz w:val="20"/>
              </w:rPr>
              <w:lastRenderedPageBreak/>
              <w:t>der bruger denne til evaluering. Er der tid, kan eleverne vise deres film til hinanden i mindre grupper, hvor de giver respons.</w:t>
            </w:r>
          </w:p>
        </w:tc>
        <w:tc>
          <w:tcPr>
            <w:tcW w:w="3049" w:type="dxa"/>
          </w:tcPr>
          <w:p w:rsidR="003900DF" w:rsidRPr="00113043" w:rsidRDefault="003900DF" w:rsidP="000101E6">
            <w:pPr>
              <w:spacing w:after="0" w:line="240" w:lineRule="auto"/>
              <w:rPr>
                <w:sz w:val="20"/>
              </w:rPr>
            </w:pPr>
          </w:p>
        </w:tc>
      </w:tr>
    </w:tbl>
    <w:p w:rsidR="003900DF" w:rsidRPr="00976837" w:rsidRDefault="003900DF" w:rsidP="003900DF">
      <w:pPr>
        <w:spacing w:after="0"/>
        <w:ind w:hanging="709"/>
        <w:rPr>
          <w:sz w:val="20"/>
          <w:szCs w:val="20"/>
        </w:rPr>
        <w:sectPr w:rsidR="003900DF" w:rsidRPr="00976837" w:rsidSect="00586B68">
          <w:pgSz w:w="16838" w:h="11906" w:orient="landscape"/>
          <w:pgMar w:top="1134" w:right="1701" w:bottom="1134" w:left="1701" w:header="708" w:footer="708" w:gutter="0"/>
          <w:cols w:space="708"/>
          <w:docGrid w:linePitch="360"/>
        </w:sectPr>
      </w:pPr>
      <w:r w:rsidRPr="00976837">
        <w:rPr>
          <w:sz w:val="20"/>
          <w:szCs w:val="20"/>
        </w:rPr>
        <w:lastRenderedPageBreak/>
        <w:t>NB! 1 lektion = 45 min.</w:t>
      </w:r>
    </w:p>
    <w:p w:rsidR="003900DF" w:rsidRDefault="003900DF" w:rsidP="003900DF">
      <w:pPr>
        <w:pStyle w:val="Overskrift1"/>
      </w:pPr>
      <w:r>
        <w:lastRenderedPageBreak/>
        <w:t>Forslag til:</w:t>
      </w:r>
    </w:p>
    <w:p w:rsidR="003900DF" w:rsidRDefault="003900DF" w:rsidP="003900DF">
      <w:pPr>
        <w:pStyle w:val="Overskrift2"/>
      </w:pPr>
      <w:r>
        <w:t>Undervisningsdifferentiering</w:t>
      </w:r>
    </w:p>
    <w:p w:rsidR="003900DF" w:rsidRPr="00400396" w:rsidRDefault="003900DF" w:rsidP="003900DF">
      <w:pPr>
        <w:spacing w:after="0"/>
      </w:pPr>
      <w:proofErr w:type="spellStart"/>
      <w:r w:rsidRPr="00400396">
        <w:t>xx</w:t>
      </w:r>
      <w:proofErr w:type="spellEnd"/>
      <w:r w:rsidRPr="00400396">
        <w:t>.</w:t>
      </w:r>
    </w:p>
    <w:p w:rsidR="003900DF" w:rsidRDefault="003900DF" w:rsidP="003900DF">
      <w:pPr>
        <w:pStyle w:val="Overskrift2"/>
      </w:pPr>
      <w:r>
        <w:t>Evalueringsformer</w:t>
      </w:r>
    </w:p>
    <w:p w:rsidR="003900DF" w:rsidRDefault="003900DF" w:rsidP="003900DF">
      <w:pPr>
        <w:spacing w:after="0"/>
      </w:pPr>
      <w:proofErr w:type="spellStart"/>
      <w:r>
        <w:t>xx</w:t>
      </w:r>
      <w:proofErr w:type="spellEnd"/>
    </w:p>
    <w:p w:rsidR="003900DF" w:rsidRDefault="003900DF" w:rsidP="003900DF">
      <w:pPr>
        <w:pStyle w:val="Overskrift2"/>
      </w:pPr>
      <w:r>
        <w:t>Bevægelse</w:t>
      </w:r>
    </w:p>
    <w:p w:rsidR="003900DF" w:rsidRPr="00AF18DA" w:rsidRDefault="003900DF" w:rsidP="003900DF">
      <w:pPr>
        <w:spacing w:after="0"/>
      </w:pPr>
      <w:proofErr w:type="spellStart"/>
      <w:r>
        <w:t>xx</w:t>
      </w:r>
      <w:proofErr w:type="spellEnd"/>
    </w:p>
    <w:p w:rsidR="003900DF" w:rsidRDefault="003900DF" w:rsidP="003900DF">
      <w:pPr>
        <w:pStyle w:val="Overskrift2"/>
      </w:pPr>
      <w:r>
        <w:t>Nærområdet som læringsrum</w:t>
      </w:r>
    </w:p>
    <w:p w:rsidR="003900DF" w:rsidRPr="006A2C20" w:rsidRDefault="003900DF" w:rsidP="003900DF">
      <w:pPr>
        <w:spacing w:after="0"/>
      </w:pPr>
      <w:proofErr w:type="spellStart"/>
      <w:r>
        <w:t>xx</w:t>
      </w:r>
      <w:proofErr w:type="spellEnd"/>
      <w:r w:rsidRPr="006A2C20">
        <w:t xml:space="preserve"> </w:t>
      </w:r>
    </w:p>
    <w:p w:rsidR="003900DF" w:rsidRDefault="003900DF" w:rsidP="003900DF">
      <w:pPr>
        <w:pStyle w:val="Overskrift1"/>
      </w:pPr>
      <w:r>
        <w:t>Øvrige gode råd og kommentarer</w:t>
      </w:r>
    </w:p>
    <w:p w:rsidR="003900DF" w:rsidRDefault="003900DF" w:rsidP="003900DF">
      <w:pPr>
        <w:spacing w:after="0"/>
      </w:pPr>
    </w:p>
    <w:p w:rsidR="003900DF" w:rsidRDefault="003900DF" w:rsidP="003900DF">
      <w:pPr>
        <w:spacing w:after="0"/>
      </w:pPr>
      <w:r>
        <w:t>Såfremt eleverne i forbindelse med et af de andre forløb, der bygger på filmen "Maastricht 1993", allerede har arbejdet med modul 1, undlades det naturligvis i dette forløb.</w:t>
      </w:r>
    </w:p>
    <w:p w:rsidR="003900DF" w:rsidRDefault="003900DF" w:rsidP="003900DF">
      <w:pPr>
        <w:spacing w:after="0"/>
      </w:pPr>
    </w:p>
    <w:p w:rsidR="003900DF" w:rsidRDefault="003900DF" w:rsidP="003900DF">
      <w:pPr>
        <w:pStyle w:val="Listeafsnit"/>
        <w:spacing w:after="0" w:line="240" w:lineRule="auto"/>
        <w:ind w:left="0"/>
      </w:pPr>
      <w:r w:rsidRPr="00E73A3A">
        <w:t>Skattejagt</w:t>
      </w:r>
      <w:r>
        <w:t xml:space="preserve">: </w:t>
      </w:r>
    </w:p>
    <w:p w:rsidR="003900DF" w:rsidRDefault="003900DF" w:rsidP="003900DF">
      <w:pPr>
        <w:pStyle w:val="Listeafsnit"/>
        <w:spacing w:after="0" w:line="240" w:lineRule="auto"/>
        <w:ind w:left="0"/>
      </w:pPr>
      <w:r>
        <w:t>Tanken er, at eleverne skal sendes ud til 4 forskellige poster, hvor de skal arbejde med EU´s historie. Alle bør starte med post 1, dog ikke på en gang. Det betyder, at man som lærer må sende dem af sted i mindre grupper á 4-5 elever med 3-5 minutters interval. De andre elever skal derfor ”aktiveres”, til det er deres tur til at komme af sted, ligesom de første grupper skal aktiveres, indtil alle grupper er kommet igennem. Til dette formål foreslår jeg, at de elever, der er i venteposition, bruger tiden på at se de 3 videoer:</w:t>
      </w:r>
    </w:p>
    <w:p w:rsidR="003900DF" w:rsidRDefault="003900DF" w:rsidP="003900DF">
      <w:pPr>
        <w:pStyle w:val="Listeafsnit"/>
        <w:numPr>
          <w:ilvl w:val="0"/>
          <w:numId w:val="5"/>
        </w:numPr>
        <w:spacing w:after="0" w:line="240" w:lineRule="auto"/>
      </w:pPr>
      <w:r>
        <w:t>Beslutningsproces EU</w:t>
      </w:r>
    </w:p>
    <w:p w:rsidR="003900DF" w:rsidRDefault="003900DF" w:rsidP="003900DF">
      <w:pPr>
        <w:pStyle w:val="Listeafsnit"/>
        <w:numPr>
          <w:ilvl w:val="0"/>
          <w:numId w:val="5"/>
        </w:numPr>
        <w:spacing w:after="0" w:line="240" w:lineRule="auto"/>
      </w:pPr>
      <w:r>
        <w:t>Hvad er en EU-traktat?</w:t>
      </w:r>
    </w:p>
    <w:p w:rsidR="003900DF" w:rsidRDefault="003900DF" w:rsidP="003900DF">
      <w:pPr>
        <w:pStyle w:val="Listeafsnit"/>
        <w:numPr>
          <w:ilvl w:val="0"/>
          <w:numId w:val="5"/>
        </w:numPr>
        <w:spacing w:after="0" w:line="240" w:lineRule="auto"/>
      </w:pPr>
      <w:r>
        <w:t>EU´s institutioner</w:t>
      </w:r>
    </w:p>
    <w:p w:rsidR="003900DF" w:rsidRDefault="003900DF" w:rsidP="003900DF">
      <w:pPr>
        <w:spacing w:after="0" w:line="240" w:lineRule="auto"/>
      </w:pPr>
    </w:p>
    <w:p w:rsidR="003900DF" w:rsidRDefault="003900DF" w:rsidP="003900DF">
      <w:pPr>
        <w:spacing w:after="0" w:line="240" w:lineRule="auto"/>
      </w:pPr>
      <w:r>
        <w:t>Du kan finde links til de tre videoer i materialeoversigten.</w:t>
      </w:r>
    </w:p>
    <w:p w:rsidR="003900DF" w:rsidRDefault="003900DF" w:rsidP="003900DF">
      <w:pPr>
        <w:spacing w:after="120"/>
      </w:pPr>
    </w:p>
    <w:p w:rsidR="003900DF" w:rsidRPr="00E73A3A" w:rsidRDefault="003900DF" w:rsidP="003900DF">
      <w:pPr>
        <w:pStyle w:val="Listeafsnit"/>
        <w:spacing w:after="0" w:line="240" w:lineRule="auto"/>
        <w:ind w:left="0"/>
      </w:pPr>
      <w:r w:rsidRPr="00E73A3A">
        <w:t>Billeder og tekst klippes ud og hænges forskellige steder på skolen</w:t>
      </w:r>
      <w:r>
        <w:t>. Grupperne skal</w:t>
      </w:r>
      <w:r w:rsidRPr="00E73A3A">
        <w:t xml:space="preserve"> besvare spørgsmålene undervejs. Dette kan gøres på forskellig vis:</w:t>
      </w:r>
    </w:p>
    <w:p w:rsidR="003900DF" w:rsidRPr="00E73A3A" w:rsidRDefault="003900DF" w:rsidP="003900DF">
      <w:pPr>
        <w:pStyle w:val="Listeafsnit"/>
        <w:numPr>
          <w:ilvl w:val="0"/>
          <w:numId w:val="4"/>
        </w:numPr>
        <w:spacing w:after="0" w:line="240" w:lineRule="auto"/>
      </w:pPr>
      <w:r w:rsidRPr="00E73A3A">
        <w:t>Spørgsmålene printes ud og besvares skriftligt enten som gruppe eller individuelt</w:t>
      </w:r>
    </w:p>
    <w:p w:rsidR="003900DF" w:rsidRPr="00E73A3A" w:rsidRDefault="003900DF" w:rsidP="003900DF">
      <w:pPr>
        <w:pStyle w:val="Listeafsnit"/>
        <w:numPr>
          <w:ilvl w:val="0"/>
          <w:numId w:val="4"/>
        </w:numPr>
        <w:spacing w:after="0" w:line="240" w:lineRule="auto"/>
      </w:pPr>
      <w:r w:rsidRPr="00E73A3A">
        <w:t xml:space="preserve">Spørgsmålene deles elektronisk og besvares elektronisk </w:t>
      </w:r>
      <w:r>
        <w:t xml:space="preserve">(fx på mobilen) </w:t>
      </w:r>
      <w:r w:rsidRPr="00E73A3A">
        <w:t>enten som gruppe eller individuelt</w:t>
      </w:r>
    </w:p>
    <w:p w:rsidR="003900DF" w:rsidRDefault="003900DF" w:rsidP="003900DF">
      <w:pPr>
        <w:pStyle w:val="Listeafsnit"/>
        <w:numPr>
          <w:ilvl w:val="0"/>
          <w:numId w:val="4"/>
        </w:numPr>
        <w:spacing w:after="0" w:line="240" w:lineRule="auto"/>
      </w:pPr>
      <w:r w:rsidRPr="00E73A3A">
        <w:t>Spørgsmålene printes eller deles</w:t>
      </w:r>
      <w:r>
        <w:t xml:space="preserve"> og besvares mundtligt men ikke skriftligt</w:t>
      </w:r>
      <w:r w:rsidRPr="00E73A3A">
        <w:t>. I så fald anbefales det, at klassen samlet gennemgår spørgsmålene på klassen.</w:t>
      </w:r>
    </w:p>
    <w:p w:rsidR="003900DF" w:rsidRDefault="003900DF" w:rsidP="003900DF">
      <w:pPr>
        <w:pStyle w:val="Listeafsnit"/>
        <w:spacing w:after="0" w:line="240" w:lineRule="auto"/>
        <w:ind w:left="360"/>
      </w:pPr>
    </w:p>
    <w:p w:rsidR="003900DF" w:rsidRPr="00E73A3A" w:rsidRDefault="003900DF" w:rsidP="003900DF">
      <w:pPr>
        <w:pStyle w:val="Listeafsnit"/>
        <w:spacing w:after="0" w:line="240" w:lineRule="auto"/>
        <w:ind w:left="360"/>
      </w:pPr>
      <w:r>
        <w:t>NB: valg vedrørende besvarelserne kan have betydning for, hvor mange minutters interval, eleverne skal sendes af sted med. Her tager eksemplet udgangspunkt i, at eleverne besvarer mundtligt. Derfor fremgår det også af lektionsplanen at besvarelserne gennemgås i klassen efterfølgende.</w:t>
      </w:r>
    </w:p>
    <w:p w:rsidR="003900DF" w:rsidRDefault="003900DF" w:rsidP="003900DF">
      <w:pPr>
        <w:spacing w:after="120"/>
      </w:pPr>
    </w:p>
    <w:p w:rsidR="003900DF" w:rsidRDefault="003900DF" w:rsidP="003900DF">
      <w:pPr>
        <w:spacing w:after="120"/>
      </w:pPr>
      <w:r>
        <w:lastRenderedPageBreak/>
        <w:t>Det anbefales at sende de hurtigste grupper af sted først, hvis det giver mening at tale om, at der er hurtige eller langsomme grupper. Her ses et eksempel på, hvordan grupperne arbejder, dels med skattejagten, dels med videoerne, kan tilrettelægges.</w:t>
      </w:r>
    </w:p>
    <w:tbl>
      <w:tblPr>
        <w:tblStyle w:val="Tabel-Gitter"/>
        <w:tblW w:w="0" w:type="auto"/>
        <w:tblLook w:val="04A0" w:firstRow="1" w:lastRow="0" w:firstColumn="1" w:lastColumn="0" w:noHBand="0" w:noVBand="1"/>
      </w:tblPr>
      <w:tblGrid>
        <w:gridCol w:w="1395"/>
        <w:gridCol w:w="1395"/>
        <w:gridCol w:w="1395"/>
        <w:gridCol w:w="1395"/>
        <w:gridCol w:w="1395"/>
        <w:gridCol w:w="1491"/>
      </w:tblGrid>
      <w:tr w:rsidR="003900DF" w:rsidTr="000101E6">
        <w:tc>
          <w:tcPr>
            <w:tcW w:w="1395" w:type="dxa"/>
          </w:tcPr>
          <w:p w:rsidR="003900DF" w:rsidRDefault="003900DF" w:rsidP="000101E6">
            <w:pPr>
              <w:pStyle w:val="Listeafsnit"/>
              <w:ind w:left="0"/>
            </w:pPr>
            <w:r>
              <w:t>Gruppe 1</w:t>
            </w:r>
          </w:p>
        </w:tc>
        <w:tc>
          <w:tcPr>
            <w:tcW w:w="1395" w:type="dxa"/>
          </w:tcPr>
          <w:p w:rsidR="003900DF" w:rsidRDefault="003900DF" w:rsidP="000101E6">
            <w:pPr>
              <w:pStyle w:val="Listeafsnit"/>
              <w:ind w:left="0"/>
            </w:pPr>
            <w:r>
              <w:t>Gruppe 2</w:t>
            </w:r>
          </w:p>
        </w:tc>
        <w:tc>
          <w:tcPr>
            <w:tcW w:w="1395" w:type="dxa"/>
          </w:tcPr>
          <w:p w:rsidR="003900DF" w:rsidRDefault="003900DF" w:rsidP="000101E6">
            <w:pPr>
              <w:pStyle w:val="Listeafsnit"/>
              <w:ind w:left="0"/>
            </w:pPr>
            <w:r>
              <w:t>Gruppe 3</w:t>
            </w:r>
          </w:p>
        </w:tc>
        <w:tc>
          <w:tcPr>
            <w:tcW w:w="1395" w:type="dxa"/>
          </w:tcPr>
          <w:p w:rsidR="003900DF" w:rsidRDefault="003900DF" w:rsidP="000101E6">
            <w:pPr>
              <w:pStyle w:val="Listeafsnit"/>
              <w:ind w:left="0"/>
            </w:pPr>
            <w:r>
              <w:t>Gruppe 4</w:t>
            </w:r>
          </w:p>
        </w:tc>
        <w:tc>
          <w:tcPr>
            <w:tcW w:w="1395" w:type="dxa"/>
          </w:tcPr>
          <w:p w:rsidR="003900DF" w:rsidRDefault="003900DF" w:rsidP="000101E6">
            <w:pPr>
              <w:pStyle w:val="Listeafsnit"/>
              <w:ind w:left="0"/>
            </w:pPr>
            <w:r>
              <w:t>Gruppe 5</w:t>
            </w:r>
          </w:p>
        </w:tc>
        <w:tc>
          <w:tcPr>
            <w:tcW w:w="1491" w:type="dxa"/>
          </w:tcPr>
          <w:p w:rsidR="003900DF" w:rsidRDefault="003900DF" w:rsidP="000101E6">
            <w:pPr>
              <w:pStyle w:val="Listeafsnit"/>
              <w:ind w:left="0"/>
            </w:pPr>
            <w:r>
              <w:t>Gruppe 6</w:t>
            </w:r>
          </w:p>
        </w:tc>
      </w:tr>
      <w:tr w:rsidR="003900DF" w:rsidTr="000101E6">
        <w:tc>
          <w:tcPr>
            <w:tcW w:w="1395" w:type="dxa"/>
          </w:tcPr>
          <w:p w:rsidR="003900DF" w:rsidRDefault="003900DF" w:rsidP="000101E6">
            <w:pPr>
              <w:pStyle w:val="Listeafsnit"/>
              <w:ind w:left="0"/>
            </w:pPr>
            <w:r>
              <w:t>Post 1</w:t>
            </w:r>
          </w:p>
        </w:tc>
        <w:tc>
          <w:tcPr>
            <w:tcW w:w="1395"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rsidRPr="003C491B">
              <w:t xml:space="preserve"> i EU</w:t>
            </w:r>
          </w:p>
        </w:tc>
        <w:tc>
          <w:tcPr>
            <w:tcW w:w="1395" w:type="dxa"/>
            <w:vMerge w:val="restart"/>
            <w:shd w:val="clear" w:color="auto" w:fill="92D050"/>
          </w:tcPr>
          <w:p w:rsidR="003900DF" w:rsidRDefault="003900DF" w:rsidP="000101E6">
            <w:pPr>
              <w:pStyle w:val="Listeafsnit"/>
              <w:ind w:left="0"/>
            </w:pPr>
            <w:r w:rsidRPr="00A01828">
              <w:t>Hvad er en EU-traktat?</w:t>
            </w:r>
          </w:p>
        </w:tc>
        <w:tc>
          <w:tcPr>
            <w:tcW w:w="1395"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rsidRPr="003C491B">
              <w:t xml:space="preserve"> i EU</w:t>
            </w:r>
          </w:p>
        </w:tc>
        <w:tc>
          <w:tcPr>
            <w:tcW w:w="1395" w:type="dxa"/>
            <w:vMerge w:val="restart"/>
            <w:shd w:val="clear" w:color="auto" w:fill="92D050"/>
          </w:tcPr>
          <w:p w:rsidR="003900DF" w:rsidRDefault="003900DF" w:rsidP="000101E6">
            <w:pPr>
              <w:pStyle w:val="Listeafsnit"/>
              <w:ind w:left="0"/>
            </w:pPr>
            <w:r w:rsidRPr="00A01828">
              <w:t>Hvad er en EU-traktat?</w:t>
            </w:r>
          </w:p>
        </w:tc>
        <w:tc>
          <w:tcPr>
            <w:tcW w:w="1491" w:type="dxa"/>
            <w:vMerge w:val="restart"/>
            <w:shd w:val="clear" w:color="auto" w:fill="92D050"/>
          </w:tcPr>
          <w:p w:rsidR="003900DF" w:rsidRDefault="003900DF" w:rsidP="000101E6">
            <w:pPr>
              <w:pStyle w:val="Listeafsnit"/>
              <w:ind w:left="0"/>
            </w:pPr>
            <w:r w:rsidRPr="00A01828">
              <w:t>Hvad er en EU-traktat?</w:t>
            </w:r>
          </w:p>
        </w:tc>
      </w:tr>
      <w:tr w:rsidR="003900DF" w:rsidTr="000101E6">
        <w:tc>
          <w:tcPr>
            <w:tcW w:w="1395" w:type="dxa"/>
          </w:tcPr>
          <w:p w:rsidR="003900DF" w:rsidRDefault="003900DF" w:rsidP="000101E6">
            <w:pPr>
              <w:pStyle w:val="Listeafsnit"/>
              <w:ind w:left="0"/>
            </w:pPr>
            <w:r>
              <w:t>Post 2</w:t>
            </w:r>
          </w:p>
        </w:tc>
        <w:tc>
          <w:tcPr>
            <w:tcW w:w="1395" w:type="dxa"/>
          </w:tcPr>
          <w:p w:rsidR="003900DF" w:rsidRDefault="003900DF" w:rsidP="000101E6">
            <w:pPr>
              <w:pStyle w:val="Listeafsnit"/>
              <w:ind w:left="0"/>
            </w:pPr>
            <w:r w:rsidRPr="00B24018">
              <w:t>post 1</w:t>
            </w:r>
          </w:p>
        </w:tc>
        <w:tc>
          <w:tcPr>
            <w:tcW w:w="1395" w:type="dxa"/>
            <w:vMerge/>
          </w:tcPr>
          <w:p w:rsidR="003900DF" w:rsidRDefault="003900DF" w:rsidP="000101E6">
            <w:pPr>
              <w:pStyle w:val="Listeafsnit"/>
              <w:ind w:left="0"/>
            </w:pPr>
          </w:p>
        </w:tc>
        <w:tc>
          <w:tcPr>
            <w:tcW w:w="1395" w:type="dxa"/>
            <w:vMerge w:val="restart"/>
            <w:shd w:val="clear" w:color="auto" w:fill="92D050"/>
          </w:tcPr>
          <w:p w:rsidR="003900DF" w:rsidRDefault="003900DF" w:rsidP="000101E6">
            <w:pPr>
              <w:pStyle w:val="Listeafsnit"/>
              <w:ind w:left="0"/>
            </w:pPr>
            <w:r w:rsidRPr="00A01828">
              <w:t>Hvad er en EU-traktat?</w:t>
            </w:r>
          </w:p>
        </w:tc>
        <w:tc>
          <w:tcPr>
            <w:tcW w:w="1395" w:type="dxa"/>
            <w:vMerge/>
            <w:shd w:val="clear" w:color="auto" w:fill="92D050"/>
          </w:tcPr>
          <w:p w:rsidR="003900DF" w:rsidRDefault="003900DF" w:rsidP="000101E6">
            <w:pPr>
              <w:pStyle w:val="Listeafsnit"/>
              <w:ind w:left="0"/>
            </w:pPr>
          </w:p>
        </w:tc>
        <w:tc>
          <w:tcPr>
            <w:tcW w:w="1491" w:type="dxa"/>
            <w:vMerge/>
          </w:tcPr>
          <w:p w:rsidR="003900DF" w:rsidRDefault="003900DF" w:rsidP="000101E6">
            <w:pPr>
              <w:pStyle w:val="Listeafsnit"/>
              <w:ind w:left="0"/>
            </w:pPr>
          </w:p>
        </w:tc>
      </w:tr>
      <w:tr w:rsidR="003900DF" w:rsidTr="000101E6">
        <w:tc>
          <w:tcPr>
            <w:tcW w:w="1395" w:type="dxa"/>
          </w:tcPr>
          <w:p w:rsidR="003900DF" w:rsidRDefault="003900DF" w:rsidP="000101E6">
            <w:pPr>
              <w:pStyle w:val="Listeafsnit"/>
              <w:ind w:left="0"/>
            </w:pPr>
            <w:r>
              <w:t>Post 3</w:t>
            </w:r>
          </w:p>
        </w:tc>
        <w:tc>
          <w:tcPr>
            <w:tcW w:w="1395" w:type="dxa"/>
          </w:tcPr>
          <w:p w:rsidR="003900DF" w:rsidRDefault="003900DF" w:rsidP="000101E6">
            <w:pPr>
              <w:pStyle w:val="Listeafsnit"/>
              <w:ind w:left="0"/>
            </w:pPr>
            <w:r w:rsidRPr="00B24018">
              <w:t>Post 2</w:t>
            </w:r>
          </w:p>
        </w:tc>
        <w:tc>
          <w:tcPr>
            <w:tcW w:w="1395" w:type="dxa"/>
          </w:tcPr>
          <w:p w:rsidR="003900DF" w:rsidRDefault="003900DF" w:rsidP="000101E6">
            <w:pPr>
              <w:pStyle w:val="Listeafsnit"/>
              <w:ind w:left="0"/>
            </w:pPr>
            <w:r w:rsidRPr="00B24018">
              <w:t>post 1</w:t>
            </w:r>
          </w:p>
        </w:tc>
        <w:tc>
          <w:tcPr>
            <w:tcW w:w="1395" w:type="dxa"/>
            <w:vMerge/>
            <w:shd w:val="clear" w:color="auto" w:fill="92D050"/>
          </w:tcPr>
          <w:p w:rsidR="003900DF" w:rsidRDefault="003900DF" w:rsidP="000101E6">
            <w:pPr>
              <w:pStyle w:val="Listeafsnit"/>
              <w:ind w:left="0"/>
            </w:pPr>
          </w:p>
        </w:tc>
        <w:tc>
          <w:tcPr>
            <w:tcW w:w="1395" w:type="dxa"/>
            <w:vMerge w:val="restart"/>
            <w:shd w:val="clear" w:color="auto" w:fill="92D050"/>
          </w:tcPr>
          <w:p w:rsidR="003900DF" w:rsidRDefault="003900DF" w:rsidP="000101E6">
            <w:pPr>
              <w:pStyle w:val="Listeafsnit"/>
              <w:ind w:left="0"/>
            </w:pPr>
            <w:r w:rsidRPr="00A01828">
              <w:t>EU´s ins</w:t>
            </w:r>
            <w:r>
              <w:t>t</w:t>
            </w:r>
            <w:r w:rsidRPr="00A01828">
              <w:t>itutioner</w:t>
            </w:r>
          </w:p>
        </w:tc>
        <w:tc>
          <w:tcPr>
            <w:tcW w:w="1491" w:type="dxa"/>
            <w:vMerge w:val="restart"/>
            <w:shd w:val="clear" w:color="auto" w:fill="92D050"/>
          </w:tcPr>
          <w:p w:rsidR="003900DF" w:rsidRDefault="003900DF" w:rsidP="000101E6">
            <w:pPr>
              <w:pStyle w:val="Listeafsnit"/>
              <w:ind w:left="0"/>
            </w:pPr>
            <w:r w:rsidRPr="00A01828">
              <w:t>EU´s in</w:t>
            </w:r>
            <w:r w:rsidRPr="00A01828">
              <w:rPr>
                <w:shd w:val="clear" w:color="auto" w:fill="92D050"/>
              </w:rPr>
              <w:t>s</w:t>
            </w:r>
            <w:r>
              <w:rPr>
                <w:shd w:val="clear" w:color="auto" w:fill="92D050"/>
              </w:rPr>
              <w:t>t</w:t>
            </w:r>
            <w:r w:rsidRPr="00A01828">
              <w:rPr>
                <w:shd w:val="clear" w:color="auto" w:fill="92D050"/>
              </w:rPr>
              <w:t>itu</w:t>
            </w:r>
            <w:r w:rsidRPr="00A01828">
              <w:t>tioner</w:t>
            </w:r>
          </w:p>
        </w:tc>
      </w:tr>
      <w:tr w:rsidR="003900DF" w:rsidTr="000101E6">
        <w:tc>
          <w:tcPr>
            <w:tcW w:w="1395" w:type="dxa"/>
          </w:tcPr>
          <w:p w:rsidR="003900DF" w:rsidRDefault="003900DF" w:rsidP="000101E6">
            <w:pPr>
              <w:pStyle w:val="Listeafsnit"/>
              <w:ind w:left="0"/>
            </w:pPr>
            <w:r>
              <w:t>Post 4</w:t>
            </w:r>
          </w:p>
        </w:tc>
        <w:tc>
          <w:tcPr>
            <w:tcW w:w="1395" w:type="dxa"/>
          </w:tcPr>
          <w:p w:rsidR="003900DF" w:rsidRDefault="003900DF" w:rsidP="000101E6">
            <w:pPr>
              <w:pStyle w:val="Listeafsnit"/>
              <w:ind w:left="0"/>
            </w:pPr>
            <w:r w:rsidRPr="00B24018">
              <w:t>Post 3</w:t>
            </w:r>
          </w:p>
        </w:tc>
        <w:tc>
          <w:tcPr>
            <w:tcW w:w="1395" w:type="dxa"/>
          </w:tcPr>
          <w:p w:rsidR="003900DF" w:rsidRDefault="003900DF" w:rsidP="000101E6">
            <w:pPr>
              <w:pStyle w:val="Listeafsnit"/>
              <w:ind w:left="0"/>
            </w:pPr>
            <w:r w:rsidRPr="00B24018">
              <w:t>Post 2</w:t>
            </w:r>
          </w:p>
        </w:tc>
        <w:tc>
          <w:tcPr>
            <w:tcW w:w="1395" w:type="dxa"/>
          </w:tcPr>
          <w:p w:rsidR="003900DF" w:rsidRDefault="003900DF" w:rsidP="000101E6">
            <w:pPr>
              <w:pStyle w:val="Listeafsnit"/>
              <w:ind w:left="0"/>
            </w:pPr>
            <w:r w:rsidRPr="00B24018">
              <w:t>post 1</w:t>
            </w:r>
          </w:p>
        </w:tc>
        <w:tc>
          <w:tcPr>
            <w:tcW w:w="1395" w:type="dxa"/>
            <w:vMerge/>
          </w:tcPr>
          <w:p w:rsidR="003900DF" w:rsidRDefault="003900DF" w:rsidP="000101E6">
            <w:pPr>
              <w:pStyle w:val="Listeafsnit"/>
              <w:ind w:left="0"/>
            </w:pPr>
          </w:p>
        </w:tc>
        <w:tc>
          <w:tcPr>
            <w:tcW w:w="1491" w:type="dxa"/>
            <w:vMerge/>
            <w:shd w:val="clear" w:color="auto" w:fill="92D050"/>
          </w:tcPr>
          <w:p w:rsidR="003900DF" w:rsidRDefault="003900DF" w:rsidP="000101E6">
            <w:pPr>
              <w:pStyle w:val="Listeafsnit"/>
              <w:ind w:left="0"/>
            </w:pPr>
          </w:p>
        </w:tc>
      </w:tr>
      <w:tr w:rsidR="003900DF" w:rsidTr="000101E6">
        <w:tc>
          <w:tcPr>
            <w:tcW w:w="1395" w:type="dxa"/>
          </w:tcPr>
          <w:p w:rsidR="003900DF" w:rsidRDefault="003900DF" w:rsidP="000101E6">
            <w:pPr>
              <w:pStyle w:val="Listeafsnit"/>
              <w:ind w:left="0"/>
            </w:pPr>
            <w:r>
              <w:t>Post 5</w:t>
            </w:r>
          </w:p>
        </w:tc>
        <w:tc>
          <w:tcPr>
            <w:tcW w:w="1395" w:type="dxa"/>
          </w:tcPr>
          <w:p w:rsidR="003900DF" w:rsidRDefault="003900DF" w:rsidP="000101E6">
            <w:pPr>
              <w:pStyle w:val="Listeafsnit"/>
              <w:ind w:left="0"/>
            </w:pPr>
            <w:r w:rsidRPr="003C491B">
              <w:t>Post 4</w:t>
            </w:r>
          </w:p>
        </w:tc>
        <w:tc>
          <w:tcPr>
            <w:tcW w:w="1395" w:type="dxa"/>
          </w:tcPr>
          <w:p w:rsidR="003900DF" w:rsidRDefault="003900DF" w:rsidP="000101E6">
            <w:pPr>
              <w:pStyle w:val="Listeafsnit"/>
              <w:ind w:left="0"/>
            </w:pPr>
            <w:r w:rsidRPr="00B24018">
              <w:t>Post 3</w:t>
            </w:r>
          </w:p>
        </w:tc>
        <w:tc>
          <w:tcPr>
            <w:tcW w:w="1395" w:type="dxa"/>
          </w:tcPr>
          <w:p w:rsidR="003900DF" w:rsidRDefault="003900DF" w:rsidP="000101E6">
            <w:pPr>
              <w:pStyle w:val="Listeafsnit"/>
              <w:ind w:left="0"/>
            </w:pPr>
            <w:r w:rsidRPr="00B24018">
              <w:t>Post 2</w:t>
            </w:r>
          </w:p>
        </w:tc>
        <w:tc>
          <w:tcPr>
            <w:tcW w:w="1395" w:type="dxa"/>
          </w:tcPr>
          <w:p w:rsidR="003900DF" w:rsidRDefault="003900DF" w:rsidP="000101E6">
            <w:pPr>
              <w:pStyle w:val="Listeafsnit"/>
              <w:ind w:left="0"/>
            </w:pPr>
            <w:r w:rsidRPr="00B24018">
              <w:t>post 1</w:t>
            </w:r>
          </w:p>
        </w:tc>
        <w:tc>
          <w:tcPr>
            <w:tcW w:w="1491"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t xml:space="preserve"> </w:t>
            </w:r>
            <w:r w:rsidRPr="003C491B">
              <w:t>i EU</w:t>
            </w:r>
          </w:p>
        </w:tc>
      </w:tr>
      <w:tr w:rsidR="003900DF" w:rsidTr="000101E6">
        <w:tc>
          <w:tcPr>
            <w:tcW w:w="1395" w:type="dxa"/>
          </w:tcPr>
          <w:p w:rsidR="003900DF" w:rsidRDefault="003900DF" w:rsidP="000101E6">
            <w:pPr>
              <w:pStyle w:val="Listeafsnit"/>
              <w:ind w:left="0"/>
            </w:pPr>
            <w:r>
              <w:t>Post 6</w:t>
            </w:r>
          </w:p>
        </w:tc>
        <w:tc>
          <w:tcPr>
            <w:tcW w:w="1395" w:type="dxa"/>
          </w:tcPr>
          <w:p w:rsidR="003900DF" w:rsidRDefault="003900DF" w:rsidP="000101E6">
            <w:pPr>
              <w:pStyle w:val="Listeafsnit"/>
              <w:ind w:left="0"/>
            </w:pPr>
            <w:r w:rsidRPr="003C491B">
              <w:t>Post 5</w:t>
            </w:r>
          </w:p>
        </w:tc>
        <w:tc>
          <w:tcPr>
            <w:tcW w:w="1395" w:type="dxa"/>
          </w:tcPr>
          <w:p w:rsidR="003900DF" w:rsidRDefault="003900DF" w:rsidP="000101E6">
            <w:pPr>
              <w:pStyle w:val="Listeafsnit"/>
              <w:ind w:left="0"/>
            </w:pPr>
            <w:r w:rsidRPr="003C491B">
              <w:t>Post 4</w:t>
            </w:r>
          </w:p>
        </w:tc>
        <w:tc>
          <w:tcPr>
            <w:tcW w:w="1395" w:type="dxa"/>
          </w:tcPr>
          <w:p w:rsidR="003900DF" w:rsidRDefault="003900DF" w:rsidP="000101E6">
            <w:pPr>
              <w:pStyle w:val="Listeafsnit"/>
              <w:ind w:left="0"/>
            </w:pPr>
            <w:r w:rsidRPr="00B24018">
              <w:t>Post 3</w:t>
            </w:r>
          </w:p>
        </w:tc>
        <w:tc>
          <w:tcPr>
            <w:tcW w:w="1395" w:type="dxa"/>
          </w:tcPr>
          <w:p w:rsidR="003900DF" w:rsidRDefault="003900DF" w:rsidP="000101E6">
            <w:pPr>
              <w:pStyle w:val="Listeafsnit"/>
              <w:ind w:left="0"/>
            </w:pPr>
            <w:r w:rsidRPr="00B24018">
              <w:t>Post 2</w:t>
            </w:r>
          </w:p>
        </w:tc>
        <w:tc>
          <w:tcPr>
            <w:tcW w:w="1491" w:type="dxa"/>
          </w:tcPr>
          <w:p w:rsidR="003900DF" w:rsidRDefault="003900DF" w:rsidP="000101E6">
            <w:pPr>
              <w:pStyle w:val="Listeafsnit"/>
              <w:ind w:left="0"/>
            </w:pPr>
            <w:r>
              <w:t>P</w:t>
            </w:r>
            <w:r w:rsidRPr="00B24018">
              <w:t>ost 1</w:t>
            </w:r>
          </w:p>
        </w:tc>
      </w:tr>
      <w:tr w:rsidR="003900DF" w:rsidTr="000101E6">
        <w:tc>
          <w:tcPr>
            <w:tcW w:w="1395"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rsidRPr="003C491B">
              <w:t xml:space="preserve"> i EU</w:t>
            </w:r>
          </w:p>
        </w:tc>
        <w:tc>
          <w:tcPr>
            <w:tcW w:w="1395" w:type="dxa"/>
          </w:tcPr>
          <w:p w:rsidR="003900DF" w:rsidRDefault="003900DF" w:rsidP="000101E6">
            <w:pPr>
              <w:pStyle w:val="Listeafsnit"/>
              <w:ind w:left="0"/>
            </w:pPr>
            <w:r w:rsidRPr="003C491B">
              <w:t>Post 6</w:t>
            </w:r>
          </w:p>
        </w:tc>
        <w:tc>
          <w:tcPr>
            <w:tcW w:w="1395" w:type="dxa"/>
          </w:tcPr>
          <w:p w:rsidR="003900DF" w:rsidRDefault="003900DF" w:rsidP="000101E6">
            <w:pPr>
              <w:pStyle w:val="Listeafsnit"/>
              <w:ind w:left="0"/>
            </w:pPr>
            <w:r w:rsidRPr="003C491B">
              <w:t>Post 5</w:t>
            </w:r>
          </w:p>
        </w:tc>
        <w:tc>
          <w:tcPr>
            <w:tcW w:w="1395" w:type="dxa"/>
          </w:tcPr>
          <w:p w:rsidR="003900DF" w:rsidRDefault="003900DF" w:rsidP="000101E6">
            <w:pPr>
              <w:pStyle w:val="Listeafsnit"/>
              <w:ind w:left="0"/>
            </w:pPr>
            <w:r w:rsidRPr="003C491B">
              <w:t>Post 4</w:t>
            </w:r>
          </w:p>
        </w:tc>
        <w:tc>
          <w:tcPr>
            <w:tcW w:w="1395" w:type="dxa"/>
          </w:tcPr>
          <w:p w:rsidR="003900DF" w:rsidRDefault="003900DF" w:rsidP="000101E6">
            <w:pPr>
              <w:pStyle w:val="Listeafsnit"/>
              <w:ind w:left="0"/>
            </w:pPr>
            <w:r w:rsidRPr="00B24018">
              <w:t>Post 3</w:t>
            </w:r>
          </w:p>
        </w:tc>
        <w:tc>
          <w:tcPr>
            <w:tcW w:w="1491" w:type="dxa"/>
          </w:tcPr>
          <w:p w:rsidR="003900DF" w:rsidRPr="00B24018" w:rsidRDefault="003900DF" w:rsidP="000101E6">
            <w:pPr>
              <w:pStyle w:val="Listeafsnit"/>
              <w:ind w:left="0"/>
            </w:pPr>
            <w:r w:rsidRPr="00B24018">
              <w:t>Post 2</w:t>
            </w:r>
          </w:p>
        </w:tc>
      </w:tr>
      <w:tr w:rsidR="003900DF" w:rsidTr="000101E6">
        <w:tc>
          <w:tcPr>
            <w:tcW w:w="1395" w:type="dxa"/>
            <w:vMerge w:val="restart"/>
            <w:shd w:val="clear" w:color="auto" w:fill="92D050"/>
          </w:tcPr>
          <w:p w:rsidR="003900DF" w:rsidRDefault="003900DF" w:rsidP="000101E6">
            <w:pPr>
              <w:pStyle w:val="Listeafsnit"/>
              <w:ind w:left="0"/>
            </w:pPr>
            <w:r w:rsidRPr="00A01828">
              <w:t>Hvad er en EU-traktat?</w:t>
            </w:r>
          </w:p>
        </w:tc>
        <w:tc>
          <w:tcPr>
            <w:tcW w:w="1395" w:type="dxa"/>
            <w:vMerge w:val="restart"/>
            <w:shd w:val="clear" w:color="auto" w:fill="92D050"/>
          </w:tcPr>
          <w:p w:rsidR="003900DF" w:rsidRDefault="003900DF" w:rsidP="000101E6">
            <w:pPr>
              <w:pStyle w:val="Listeafsnit"/>
              <w:ind w:left="0"/>
            </w:pPr>
            <w:r w:rsidRPr="00A01828">
              <w:t>Hvad er en EU-traktat?</w:t>
            </w:r>
          </w:p>
        </w:tc>
        <w:tc>
          <w:tcPr>
            <w:tcW w:w="1395" w:type="dxa"/>
          </w:tcPr>
          <w:p w:rsidR="003900DF" w:rsidRDefault="003900DF" w:rsidP="000101E6">
            <w:pPr>
              <w:pStyle w:val="Listeafsnit"/>
              <w:ind w:left="0"/>
            </w:pPr>
            <w:r w:rsidRPr="003C491B">
              <w:t>Post 6</w:t>
            </w:r>
          </w:p>
        </w:tc>
        <w:tc>
          <w:tcPr>
            <w:tcW w:w="1395" w:type="dxa"/>
          </w:tcPr>
          <w:p w:rsidR="003900DF" w:rsidRDefault="003900DF" w:rsidP="000101E6">
            <w:pPr>
              <w:pStyle w:val="Listeafsnit"/>
              <w:ind w:left="0"/>
            </w:pPr>
            <w:r w:rsidRPr="003C491B">
              <w:t>Post 5</w:t>
            </w:r>
          </w:p>
        </w:tc>
        <w:tc>
          <w:tcPr>
            <w:tcW w:w="1395" w:type="dxa"/>
          </w:tcPr>
          <w:p w:rsidR="003900DF" w:rsidRDefault="003900DF" w:rsidP="000101E6">
            <w:pPr>
              <w:pStyle w:val="Listeafsnit"/>
              <w:ind w:left="0"/>
            </w:pPr>
            <w:r w:rsidRPr="003C491B">
              <w:t>Post 4</w:t>
            </w:r>
          </w:p>
        </w:tc>
        <w:tc>
          <w:tcPr>
            <w:tcW w:w="1491" w:type="dxa"/>
          </w:tcPr>
          <w:p w:rsidR="003900DF" w:rsidRPr="00B24018" w:rsidRDefault="003900DF" w:rsidP="000101E6">
            <w:pPr>
              <w:pStyle w:val="Listeafsnit"/>
              <w:ind w:left="0"/>
            </w:pPr>
            <w:r w:rsidRPr="00B24018">
              <w:t>Post 3</w:t>
            </w:r>
          </w:p>
        </w:tc>
      </w:tr>
      <w:tr w:rsidR="003900DF" w:rsidTr="000101E6">
        <w:tc>
          <w:tcPr>
            <w:tcW w:w="1395" w:type="dxa"/>
            <w:vMerge/>
            <w:shd w:val="clear" w:color="auto" w:fill="92D050"/>
          </w:tcPr>
          <w:p w:rsidR="003900DF" w:rsidRDefault="003900DF" w:rsidP="000101E6">
            <w:pPr>
              <w:pStyle w:val="Listeafsnit"/>
              <w:ind w:left="0"/>
            </w:pPr>
          </w:p>
        </w:tc>
        <w:tc>
          <w:tcPr>
            <w:tcW w:w="1395" w:type="dxa"/>
            <w:vMerge/>
            <w:shd w:val="clear" w:color="auto" w:fill="92D050"/>
          </w:tcPr>
          <w:p w:rsidR="003900DF" w:rsidRDefault="003900DF" w:rsidP="000101E6">
            <w:pPr>
              <w:pStyle w:val="Listeafsnit"/>
              <w:ind w:left="0"/>
            </w:pPr>
          </w:p>
        </w:tc>
        <w:tc>
          <w:tcPr>
            <w:tcW w:w="1395" w:type="dxa"/>
            <w:vMerge w:val="restart"/>
            <w:shd w:val="clear" w:color="auto" w:fill="92D050"/>
          </w:tcPr>
          <w:p w:rsidR="003900DF" w:rsidRDefault="003900DF" w:rsidP="000101E6">
            <w:pPr>
              <w:pStyle w:val="Listeafsnit"/>
              <w:ind w:left="0"/>
            </w:pPr>
            <w:r w:rsidRPr="00A01828">
              <w:t>EU´s ins</w:t>
            </w:r>
            <w:r>
              <w:t>t</w:t>
            </w:r>
            <w:r w:rsidRPr="00A01828">
              <w:t>itutioner</w:t>
            </w:r>
          </w:p>
        </w:tc>
        <w:tc>
          <w:tcPr>
            <w:tcW w:w="1395" w:type="dxa"/>
          </w:tcPr>
          <w:p w:rsidR="003900DF" w:rsidRDefault="003900DF" w:rsidP="000101E6">
            <w:pPr>
              <w:pStyle w:val="Listeafsnit"/>
              <w:ind w:left="0"/>
            </w:pPr>
            <w:r w:rsidRPr="003C491B">
              <w:t>Post 6</w:t>
            </w:r>
          </w:p>
        </w:tc>
        <w:tc>
          <w:tcPr>
            <w:tcW w:w="1395" w:type="dxa"/>
          </w:tcPr>
          <w:p w:rsidR="003900DF" w:rsidRDefault="003900DF" w:rsidP="000101E6">
            <w:pPr>
              <w:pStyle w:val="Listeafsnit"/>
              <w:ind w:left="0"/>
            </w:pPr>
            <w:r w:rsidRPr="003C491B">
              <w:t>Post 5</w:t>
            </w:r>
          </w:p>
        </w:tc>
        <w:tc>
          <w:tcPr>
            <w:tcW w:w="1491" w:type="dxa"/>
          </w:tcPr>
          <w:p w:rsidR="003900DF" w:rsidRPr="00B24018" w:rsidRDefault="003900DF" w:rsidP="000101E6">
            <w:pPr>
              <w:pStyle w:val="Listeafsnit"/>
              <w:ind w:left="0"/>
            </w:pPr>
            <w:r w:rsidRPr="003C491B">
              <w:t>Post 4</w:t>
            </w:r>
          </w:p>
        </w:tc>
      </w:tr>
      <w:tr w:rsidR="003900DF" w:rsidTr="000101E6">
        <w:tc>
          <w:tcPr>
            <w:tcW w:w="1395" w:type="dxa"/>
            <w:vMerge w:val="restart"/>
            <w:shd w:val="clear" w:color="auto" w:fill="92D050"/>
          </w:tcPr>
          <w:p w:rsidR="003900DF" w:rsidRDefault="003900DF" w:rsidP="000101E6">
            <w:pPr>
              <w:pStyle w:val="Listeafsnit"/>
              <w:ind w:left="0"/>
            </w:pPr>
            <w:r w:rsidRPr="00A01828">
              <w:t>EU´s ins</w:t>
            </w:r>
            <w:r>
              <w:t>t</w:t>
            </w:r>
            <w:r w:rsidRPr="00A01828">
              <w:t>itutioner</w:t>
            </w:r>
          </w:p>
        </w:tc>
        <w:tc>
          <w:tcPr>
            <w:tcW w:w="1395" w:type="dxa"/>
            <w:vMerge w:val="restart"/>
            <w:shd w:val="clear" w:color="auto" w:fill="92D050"/>
          </w:tcPr>
          <w:p w:rsidR="003900DF" w:rsidRDefault="003900DF" w:rsidP="000101E6">
            <w:pPr>
              <w:pStyle w:val="Listeafsnit"/>
              <w:ind w:left="0"/>
            </w:pPr>
            <w:r w:rsidRPr="00A01828">
              <w:t>EU´s ins</w:t>
            </w:r>
            <w:r>
              <w:t>t</w:t>
            </w:r>
            <w:r w:rsidRPr="00A01828">
              <w:t>itutioner</w:t>
            </w:r>
          </w:p>
        </w:tc>
        <w:tc>
          <w:tcPr>
            <w:tcW w:w="1395" w:type="dxa"/>
            <w:vMerge/>
            <w:shd w:val="clear" w:color="auto" w:fill="92D050"/>
          </w:tcPr>
          <w:p w:rsidR="003900DF" w:rsidRDefault="003900DF" w:rsidP="000101E6">
            <w:pPr>
              <w:pStyle w:val="Listeafsnit"/>
              <w:ind w:left="0"/>
            </w:pPr>
          </w:p>
        </w:tc>
        <w:tc>
          <w:tcPr>
            <w:tcW w:w="1395" w:type="dxa"/>
            <w:vMerge w:val="restart"/>
            <w:shd w:val="clear" w:color="auto" w:fill="92D050"/>
          </w:tcPr>
          <w:p w:rsidR="003900DF" w:rsidRDefault="003900DF" w:rsidP="000101E6">
            <w:pPr>
              <w:pStyle w:val="Listeafsnit"/>
              <w:ind w:left="0"/>
            </w:pPr>
            <w:r w:rsidRPr="00A01828">
              <w:t>EU´s ins</w:t>
            </w:r>
            <w:r>
              <w:t>t</w:t>
            </w:r>
            <w:r w:rsidRPr="00A01828">
              <w:t>itutioner</w:t>
            </w:r>
          </w:p>
        </w:tc>
        <w:tc>
          <w:tcPr>
            <w:tcW w:w="1395" w:type="dxa"/>
          </w:tcPr>
          <w:p w:rsidR="003900DF" w:rsidRDefault="003900DF" w:rsidP="000101E6">
            <w:pPr>
              <w:pStyle w:val="Listeafsnit"/>
              <w:ind w:left="0"/>
            </w:pPr>
            <w:r w:rsidRPr="003C491B">
              <w:t>Post 6</w:t>
            </w:r>
          </w:p>
        </w:tc>
        <w:tc>
          <w:tcPr>
            <w:tcW w:w="1491" w:type="dxa"/>
          </w:tcPr>
          <w:p w:rsidR="003900DF" w:rsidRPr="00B24018" w:rsidRDefault="003900DF" w:rsidP="000101E6">
            <w:pPr>
              <w:pStyle w:val="Listeafsnit"/>
              <w:ind w:left="0"/>
            </w:pPr>
            <w:r w:rsidRPr="003C491B">
              <w:t>Post 5</w:t>
            </w:r>
          </w:p>
        </w:tc>
      </w:tr>
      <w:tr w:rsidR="003900DF" w:rsidTr="000101E6">
        <w:tc>
          <w:tcPr>
            <w:tcW w:w="1395" w:type="dxa"/>
            <w:vMerge/>
            <w:shd w:val="clear" w:color="auto" w:fill="92D050"/>
          </w:tcPr>
          <w:p w:rsidR="003900DF" w:rsidRDefault="003900DF" w:rsidP="000101E6">
            <w:pPr>
              <w:pStyle w:val="Listeafsnit"/>
              <w:ind w:left="0"/>
            </w:pPr>
          </w:p>
        </w:tc>
        <w:tc>
          <w:tcPr>
            <w:tcW w:w="1395" w:type="dxa"/>
            <w:vMerge/>
            <w:shd w:val="clear" w:color="auto" w:fill="92D050"/>
          </w:tcPr>
          <w:p w:rsidR="003900DF" w:rsidRDefault="003900DF" w:rsidP="000101E6">
            <w:pPr>
              <w:pStyle w:val="Listeafsnit"/>
              <w:ind w:left="0"/>
            </w:pPr>
          </w:p>
        </w:tc>
        <w:tc>
          <w:tcPr>
            <w:tcW w:w="1395"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rsidRPr="003C491B">
              <w:t xml:space="preserve"> i EU</w:t>
            </w:r>
          </w:p>
        </w:tc>
        <w:tc>
          <w:tcPr>
            <w:tcW w:w="1395" w:type="dxa"/>
            <w:vMerge/>
            <w:shd w:val="clear" w:color="auto" w:fill="92D050"/>
          </w:tcPr>
          <w:p w:rsidR="003900DF" w:rsidRDefault="003900DF" w:rsidP="000101E6">
            <w:pPr>
              <w:pStyle w:val="Listeafsnit"/>
              <w:ind w:left="0"/>
            </w:pPr>
          </w:p>
        </w:tc>
        <w:tc>
          <w:tcPr>
            <w:tcW w:w="1395" w:type="dxa"/>
            <w:shd w:val="clear" w:color="auto" w:fill="92D050"/>
          </w:tcPr>
          <w:p w:rsidR="003900DF" w:rsidRDefault="003900DF" w:rsidP="000101E6">
            <w:pPr>
              <w:pStyle w:val="Listeafsnit"/>
              <w:ind w:left="0"/>
            </w:pPr>
            <w:proofErr w:type="spellStart"/>
            <w:r w:rsidRPr="003C491B">
              <w:t>Beslutnings</w:t>
            </w:r>
            <w:r>
              <w:t>-</w:t>
            </w:r>
            <w:r w:rsidRPr="003C491B">
              <w:t>proces</w:t>
            </w:r>
            <w:proofErr w:type="spellEnd"/>
            <w:r w:rsidRPr="003C491B">
              <w:t xml:space="preserve"> i EU</w:t>
            </w:r>
          </w:p>
        </w:tc>
        <w:tc>
          <w:tcPr>
            <w:tcW w:w="1491" w:type="dxa"/>
          </w:tcPr>
          <w:p w:rsidR="003900DF" w:rsidRPr="00B24018" w:rsidRDefault="003900DF" w:rsidP="000101E6">
            <w:pPr>
              <w:pStyle w:val="Listeafsnit"/>
              <w:ind w:left="0"/>
            </w:pPr>
            <w:r w:rsidRPr="003C491B">
              <w:t>Post 6</w:t>
            </w:r>
          </w:p>
        </w:tc>
      </w:tr>
    </w:tbl>
    <w:p w:rsidR="003900DF" w:rsidRDefault="003900DF" w:rsidP="003900DF">
      <w:pPr>
        <w:pStyle w:val="Listeafsnit"/>
        <w:spacing w:after="0" w:line="240" w:lineRule="auto"/>
        <w:ind w:left="0"/>
      </w:pPr>
    </w:p>
    <w:p w:rsidR="003900DF" w:rsidRPr="00E73A3A" w:rsidRDefault="003900DF" w:rsidP="003900DF">
      <w:pPr>
        <w:spacing w:after="0"/>
      </w:pPr>
    </w:p>
    <w:p w:rsidR="003900DF" w:rsidRPr="00E73A3A" w:rsidRDefault="003900DF" w:rsidP="003900DF">
      <w:pPr>
        <w:spacing w:after="0"/>
      </w:pPr>
    </w:p>
    <w:p w:rsidR="003900DF" w:rsidRPr="00E73A3A" w:rsidRDefault="003900DF" w:rsidP="003900DF">
      <w:pPr>
        <w:spacing w:after="0"/>
      </w:pPr>
    </w:p>
    <w:p w:rsidR="003900DF" w:rsidRDefault="003900DF" w:rsidP="003900DF">
      <w:pPr>
        <w:spacing w:after="0"/>
      </w:pPr>
      <w:r>
        <w:t xml:space="preserve">Forslag til andet materiale man kan inddrage, hvis man ønsker at arbejde yderligere med EU og EU´s historie: </w:t>
      </w:r>
    </w:p>
    <w:p w:rsidR="003900DF" w:rsidRDefault="003900DF" w:rsidP="003900DF">
      <w:pPr>
        <w:pStyle w:val="Kommentartekst"/>
      </w:pPr>
      <w:hyperlink r:id="rId6" w:history="1">
        <w:r w:rsidRPr="002D0732">
          <w:rPr>
            <w:rStyle w:val="Hyperlink"/>
          </w:rPr>
          <w:t>https://commons.wikimedia.org/wiki/File:EC-EU-enlargement_animation.gif</w:t>
        </w:r>
      </w:hyperlink>
      <w:r>
        <w:t xml:space="preserve"> (Animeret udgave af </w:t>
      </w:r>
      <w:proofErr w:type="spellStart"/>
      <w:r>
        <w:t>EUs</w:t>
      </w:r>
      <w:proofErr w:type="spellEnd"/>
      <w:r>
        <w:t xml:space="preserve"> historie)</w:t>
      </w:r>
    </w:p>
    <w:p w:rsidR="003900DF" w:rsidRDefault="003900DF" w:rsidP="003900DF">
      <w:pPr>
        <w:pStyle w:val="Kommentartekst"/>
      </w:pPr>
      <w:r>
        <w:t xml:space="preserve">EU-Oplysningen på </w:t>
      </w:r>
      <w:hyperlink r:id="rId7" w:history="1">
        <w:r w:rsidRPr="002D0732">
          <w:rPr>
            <w:rStyle w:val="Hyperlink"/>
          </w:rPr>
          <w:t>http://www.eu.dk/</w:t>
        </w:r>
      </w:hyperlink>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Default="003900DF" w:rsidP="003900DF">
      <w:pPr>
        <w:pStyle w:val="Kommentartekst"/>
      </w:pPr>
    </w:p>
    <w:p w:rsidR="003900DF" w:rsidRPr="00E473A6" w:rsidRDefault="003900DF" w:rsidP="003900DF">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1 Skattejagt</w:t>
      </w:r>
    </w:p>
    <w:p w:rsidR="003900DF" w:rsidRPr="005D40C3" w:rsidRDefault="003900DF" w:rsidP="003900DF">
      <w:pPr>
        <w:spacing w:after="0"/>
      </w:pPr>
    </w:p>
    <w:p w:rsidR="003900DF" w:rsidRPr="0031498D" w:rsidRDefault="003900DF" w:rsidP="003900DF">
      <w:pPr>
        <w:spacing w:after="0"/>
        <w:jc w:val="center"/>
        <w:rPr>
          <w:b/>
          <w:bCs/>
        </w:rPr>
      </w:pPr>
      <w:r w:rsidRPr="0031498D">
        <w:rPr>
          <w:b/>
          <w:bCs/>
        </w:rPr>
        <w:t>POST 1</w:t>
      </w:r>
    </w:p>
    <w:p w:rsidR="003900DF" w:rsidRPr="005D40C3" w:rsidRDefault="003900DF" w:rsidP="003900DF">
      <w:pPr>
        <w:spacing w:after="0"/>
      </w:pPr>
    </w:p>
    <w:p w:rsidR="003900DF" w:rsidRDefault="003900DF" w:rsidP="003900DF">
      <w:pPr>
        <w:spacing w:after="0"/>
        <w:rPr>
          <w:lang w:val="en-GB"/>
        </w:rPr>
      </w:pPr>
      <w:r>
        <w:rPr>
          <w:noProof/>
          <w:lang w:eastAsia="da-DK"/>
        </w:rPr>
        <w:drawing>
          <wp:inline distT="0" distB="0" distL="0" distR="0" wp14:anchorId="65BD6876" wp14:editId="2E5D5188">
            <wp:extent cx="3829050" cy="2638425"/>
            <wp:effectExtent l="19050" t="0" r="0" b="0"/>
            <wp:docPr id="1" name="Billede 1" descr="https://upload.wikimedia.org/wikipedia/commons/thumb/4/41/European_Union_main_map.svg/680px-European_Union_main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1/European_Union_main_map.svg/680px-European_Union_main_map.svg.png"/>
                    <pic:cNvPicPr>
                      <a:picLocks noChangeAspect="1" noChangeArrowheads="1"/>
                    </pic:cNvPicPr>
                  </pic:nvPicPr>
                  <pic:blipFill>
                    <a:blip r:embed="rId8" r:link="rId9"/>
                    <a:srcRect l="-98" t="11102"/>
                    <a:stretch>
                      <a:fillRect/>
                    </a:stretch>
                  </pic:blipFill>
                  <pic:spPr bwMode="auto">
                    <a:xfrm>
                      <a:off x="0" y="0"/>
                      <a:ext cx="3829050" cy="2638425"/>
                    </a:xfrm>
                    <a:prstGeom prst="rect">
                      <a:avLst/>
                    </a:prstGeom>
                    <a:noFill/>
                    <a:ln w="9525">
                      <a:noFill/>
                      <a:miter lim="800000"/>
                      <a:headEnd/>
                      <a:tailEnd/>
                    </a:ln>
                  </pic:spPr>
                </pic:pic>
              </a:graphicData>
            </a:graphic>
          </wp:inline>
        </w:drawing>
      </w:r>
    </w:p>
    <w:p w:rsidR="003900DF" w:rsidRPr="003900DF" w:rsidRDefault="003900DF" w:rsidP="003900DF">
      <w:pPr>
        <w:spacing w:after="0"/>
        <w:rPr>
          <w:color w:val="000000" w:themeColor="text1"/>
          <w:sz w:val="16"/>
          <w:szCs w:val="16"/>
          <w:u w:val="single"/>
          <w:lang w:val="en-GB"/>
        </w:rPr>
      </w:pPr>
      <w:hyperlink r:id="rId10" w:history="1">
        <w:r w:rsidRPr="00E06111">
          <w:rPr>
            <w:rStyle w:val="Hyperlink"/>
            <w:color w:val="000000" w:themeColor="text1"/>
            <w:sz w:val="16"/>
            <w:szCs w:val="16"/>
            <w:lang w:val="en-US"/>
          </w:rPr>
          <w:t>https://upload.wikimedia.org/wikipedia/commons/4/41/European_Union_main_map.svg</w:t>
        </w:r>
      </w:hyperlink>
    </w:p>
    <w:p w:rsidR="003900DF" w:rsidRPr="00E06111" w:rsidRDefault="003900DF" w:rsidP="003900DF">
      <w:pPr>
        <w:spacing w:after="0"/>
        <w:rPr>
          <w:color w:val="000000" w:themeColor="text1"/>
          <w:sz w:val="16"/>
          <w:szCs w:val="16"/>
          <w:lang w:val="en-GB"/>
        </w:rPr>
      </w:pPr>
    </w:p>
    <w:p w:rsidR="003900DF" w:rsidRPr="009C6B34" w:rsidRDefault="003900DF" w:rsidP="003900DF">
      <w:pPr>
        <w:spacing w:after="0"/>
        <w:rPr>
          <w:iCs/>
          <w:color w:val="000000" w:themeColor="text1"/>
          <w:sz w:val="16"/>
          <w:szCs w:val="16"/>
          <w:lang w:val="en-GB"/>
        </w:rPr>
      </w:pPr>
    </w:p>
    <w:p w:rsidR="003900DF" w:rsidRDefault="003900DF" w:rsidP="003900DF">
      <w:pPr>
        <w:spacing w:after="0"/>
      </w:pPr>
      <w:r w:rsidRPr="00F4767E">
        <w:t xml:space="preserve">På kortet herover ser du EU, som det ser ud i dag. </w:t>
      </w:r>
      <w:r>
        <w:t>Der er i alt 28 medlemslande. Men sådan har EU ikke altid set ud. Faktisk har det heller ikke altid heddet EU. Det og meget mere kan du blive klog på, på de følgende sider.</w:t>
      </w:r>
    </w:p>
    <w:p w:rsidR="003900DF" w:rsidRPr="0031498D" w:rsidRDefault="003900DF" w:rsidP="003900DF">
      <w:pPr>
        <w:spacing w:after="0"/>
      </w:pPr>
    </w:p>
    <w:p w:rsidR="003900DF" w:rsidRPr="0031498D" w:rsidRDefault="003900DF" w:rsidP="003900DF">
      <w:r w:rsidRPr="0031498D">
        <w:t>Ovenpå mange europæiske krige, senest 2</w:t>
      </w:r>
      <w:r>
        <w:t>.</w:t>
      </w:r>
      <w:r w:rsidRPr="0031498D">
        <w:t xml:space="preserve"> verdenskrig</w:t>
      </w:r>
      <w:r>
        <w:t xml:space="preserve"> (1939-1945)</w:t>
      </w:r>
      <w:r w:rsidRPr="0031498D">
        <w:t>, var der behov for at tænke i mere samarbejde og mindre bekæmpelse i Europa. På det grundlag blev “Kul- og Stålunionen” oprettet i 1951. De</w:t>
      </w:r>
      <w:r>
        <w:t>ngang bestod unionen af 6 lande:</w:t>
      </w:r>
      <w:r w:rsidRPr="0031498D">
        <w:t xml:space="preserve"> Frankrig, Vesttyskland, Italien, Belgien, Nederland og Luxembourg. </w:t>
      </w:r>
      <w:r>
        <w:t>(Indtil 1962 var det nordafrikanske land Algeriet en fransk koloni og dermed en del af Unionen</w:t>
      </w:r>
      <w:r w:rsidRPr="0031498D">
        <w:t>.</w:t>
      </w:r>
      <w:r>
        <w:t xml:space="preserve"> Du kan se de 6 lande på billedet herunder. Dengang var formålet med unionen ”fred i Europa og økonomisk vækst”.</w:t>
      </w:r>
    </w:p>
    <w:p w:rsidR="003900DF" w:rsidRDefault="003900DF" w:rsidP="003900DF">
      <w:pPr>
        <w:spacing w:after="120"/>
      </w:pPr>
      <w:r>
        <w:rPr>
          <w:noProof/>
          <w:lang w:eastAsia="da-DK"/>
        </w:rPr>
        <w:drawing>
          <wp:inline distT="0" distB="0" distL="0" distR="0" wp14:anchorId="58BE1E1B" wp14:editId="1095DE28">
            <wp:extent cx="4152900" cy="2266950"/>
            <wp:effectExtent l="0" t="0" r="0" b="0"/>
            <wp:docPr id="2" name="Billede 2" descr="https://upload.wikimedia.org/wikipedia/commons/thumb/e/e1/EC06-1957-58_European_Community_map.svg/680px-EC06-1957-58_European_Community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1/EC06-1957-58_European_Community_map.svg/680px-EC06-1957-58_European_Community_map.svg.png"/>
                    <pic:cNvPicPr>
                      <a:picLocks noChangeAspect="1" noChangeArrowheads="1"/>
                    </pic:cNvPicPr>
                  </pic:nvPicPr>
                  <pic:blipFill>
                    <a:blip r:embed="rId11" r:link="rId12"/>
                    <a:srcRect l="-89" t="28603"/>
                    <a:stretch>
                      <a:fillRect/>
                    </a:stretch>
                  </pic:blipFill>
                  <pic:spPr bwMode="auto">
                    <a:xfrm>
                      <a:off x="0" y="0"/>
                      <a:ext cx="4152900" cy="2266950"/>
                    </a:xfrm>
                    <a:prstGeom prst="rect">
                      <a:avLst/>
                    </a:prstGeom>
                    <a:noFill/>
                    <a:ln w="9525">
                      <a:noFill/>
                      <a:miter lim="800000"/>
                      <a:headEnd/>
                      <a:tailEnd/>
                    </a:ln>
                  </pic:spPr>
                </pic:pic>
              </a:graphicData>
            </a:graphic>
          </wp:inline>
        </w:drawing>
      </w:r>
    </w:p>
    <w:p w:rsidR="003900DF" w:rsidRDefault="003900DF" w:rsidP="003900DF">
      <w:pPr>
        <w:spacing w:after="120"/>
        <w:rPr>
          <w:rFonts w:ascii="Times New Roman" w:hAnsi="Times New Roman"/>
          <w:iCs/>
          <w:sz w:val="16"/>
          <w:szCs w:val="16"/>
          <w:lang w:eastAsia="da-DK"/>
        </w:rPr>
      </w:pPr>
      <w:hyperlink r:id="rId13" w:history="1">
        <w:r w:rsidRPr="004A300B">
          <w:rPr>
            <w:rStyle w:val="Hyperlink"/>
            <w:rFonts w:ascii="Times New Roman" w:hAnsi="Times New Roman"/>
            <w:iCs/>
            <w:sz w:val="16"/>
            <w:szCs w:val="16"/>
            <w:lang w:eastAsia="da-DK"/>
          </w:rPr>
          <w:t>https://upload.wikimedia.org/wikipedia/commons/e/e1/EC06-1957-58_European_Community_map.svg</w:t>
        </w:r>
      </w:hyperlink>
    </w:p>
    <w:p w:rsidR="003900DF" w:rsidRPr="00E06111" w:rsidRDefault="003900DF" w:rsidP="003900DF">
      <w:pPr>
        <w:spacing w:after="120"/>
        <w:rPr>
          <w:rFonts w:ascii="Times New Roman" w:hAnsi="Times New Roman"/>
          <w:iCs/>
          <w:sz w:val="16"/>
          <w:szCs w:val="16"/>
          <w:lang w:eastAsia="da-DK"/>
        </w:rPr>
      </w:pPr>
    </w:p>
    <w:p w:rsidR="003900DF" w:rsidRPr="0031498D" w:rsidRDefault="003900DF" w:rsidP="003900DF">
      <w:pPr>
        <w:spacing w:after="120"/>
        <w:jc w:val="center"/>
        <w:rPr>
          <w:rFonts w:ascii="Times New Roman" w:hAnsi="Times New Roman"/>
          <w:b/>
          <w:bCs/>
          <w:lang w:val="en-GB" w:eastAsia="da-DK"/>
        </w:rPr>
      </w:pPr>
      <w:r w:rsidRPr="0031498D">
        <w:rPr>
          <w:rFonts w:ascii="Times New Roman" w:hAnsi="Times New Roman"/>
          <w:b/>
          <w:bCs/>
          <w:lang w:val="en-GB" w:eastAsia="da-DK"/>
        </w:rPr>
        <w:t>POST 2</w:t>
      </w:r>
    </w:p>
    <w:p w:rsidR="003900DF" w:rsidRDefault="003900DF" w:rsidP="003900DF">
      <w:pPr>
        <w:spacing w:after="120"/>
        <w:jc w:val="center"/>
      </w:pPr>
      <w:r>
        <w:rPr>
          <w:noProof/>
          <w:lang w:eastAsia="da-DK"/>
        </w:rPr>
        <w:drawing>
          <wp:inline distT="0" distB="0" distL="0" distR="0" wp14:anchorId="2515F394" wp14:editId="562E3D1C">
            <wp:extent cx="4743450" cy="3619500"/>
            <wp:effectExtent l="19050" t="0" r="0" b="0"/>
            <wp:docPr id="3" name="Billede 3" descr="https://upload.wikimedia.org/wikipedia/commons/thumb/d/dd/EC09-1973_European_Community_map_enlargement.svg/680px-EC09-1973_European_Community_map_enlarge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d/EC09-1973_European_Community_map_enlargement.svg/680px-EC09-1973_European_Community_map_enlargement.svg.png"/>
                    <pic:cNvPicPr>
                      <a:picLocks noChangeAspect="1" noChangeArrowheads="1"/>
                    </pic:cNvPicPr>
                  </pic:nvPicPr>
                  <pic:blipFill>
                    <a:blip r:embed="rId14" r:link="rId15"/>
                    <a:srcRect/>
                    <a:stretch>
                      <a:fillRect/>
                    </a:stretch>
                  </pic:blipFill>
                  <pic:spPr bwMode="auto">
                    <a:xfrm>
                      <a:off x="0" y="0"/>
                      <a:ext cx="4743450" cy="3619500"/>
                    </a:xfrm>
                    <a:prstGeom prst="rect">
                      <a:avLst/>
                    </a:prstGeom>
                    <a:noFill/>
                    <a:ln w="9525">
                      <a:noFill/>
                      <a:miter lim="800000"/>
                      <a:headEnd/>
                      <a:tailEnd/>
                    </a:ln>
                  </pic:spPr>
                </pic:pic>
              </a:graphicData>
            </a:graphic>
          </wp:inline>
        </w:drawing>
      </w:r>
    </w:p>
    <w:p w:rsidR="003900DF" w:rsidRPr="00E06111" w:rsidRDefault="003900DF" w:rsidP="003900DF">
      <w:pPr>
        <w:spacing w:after="120"/>
        <w:rPr>
          <w:rFonts w:ascii="Times New Roman" w:hAnsi="Times New Roman"/>
          <w:iCs/>
          <w:sz w:val="16"/>
          <w:szCs w:val="16"/>
          <w:lang w:eastAsia="da-DK"/>
        </w:rPr>
      </w:pPr>
      <w:hyperlink r:id="rId16" w:history="1">
        <w:r w:rsidRPr="00E06111">
          <w:rPr>
            <w:rStyle w:val="Hyperlink"/>
            <w:rFonts w:ascii="Times New Roman" w:hAnsi="Times New Roman"/>
            <w:iCs/>
            <w:sz w:val="16"/>
            <w:szCs w:val="16"/>
            <w:lang w:eastAsia="da-DK"/>
          </w:rPr>
          <w:t>https://upload.wikimedia.org/wikipedia/commons/d/dd/EC09-1973_European_Community_map_enlargement.svg</w:t>
        </w:r>
      </w:hyperlink>
    </w:p>
    <w:p w:rsidR="003900DF" w:rsidRPr="009C6B34" w:rsidRDefault="003900DF" w:rsidP="003900DF">
      <w:pPr>
        <w:spacing w:after="120"/>
        <w:rPr>
          <w:rFonts w:ascii="Times New Roman" w:hAnsi="Times New Roman"/>
          <w:i/>
          <w:iCs/>
          <w:sz w:val="16"/>
          <w:szCs w:val="16"/>
          <w:lang w:eastAsia="da-DK"/>
        </w:rPr>
      </w:pPr>
    </w:p>
    <w:p w:rsidR="003900DF" w:rsidRPr="008428E3" w:rsidRDefault="003900DF" w:rsidP="003900DF">
      <w:pPr>
        <w:pStyle w:val="NormalEfter6pkt"/>
        <w:rPr>
          <w:rFonts w:asciiTheme="minorHAnsi" w:hAnsiTheme="minorHAnsi" w:cs="Arial"/>
        </w:rPr>
      </w:pPr>
      <w:r w:rsidRPr="0031498D">
        <w:t xml:space="preserve">I 1957 blev samarbejdet </w:t>
      </w:r>
      <w:r>
        <w:t xml:space="preserve">mellem de 6 medlemslande </w:t>
      </w:r>
      <w:r w:rsidRPr="0031498D">
        <w:t>udvidet med EØF</w:t>
      </w:r>
      <w:r>
        <w:t xml:space="preserve"> (Europæiske Økonomiske Fællesskab)</w:t>
      </w:r>
      <w:r w:rsidRPr="0031498D">
        <w:t xml:space="preserve">, der blev vedtaget med Romtraktaten. </w:t>
      </w:r>
      <w:r>
        <w:t xml:space="preserve">Herefter brugte man betegnelsen EF. </w:t>
      </w:r>
      <w:r w:rsidRPr="0031498D">
        <w:t>Formålet var at varetage en række europæiske landes fælles økon</w:t>
      </w:r>
      <w:r>
        <w:t>omiske og handelsmæssige interesser</w:t>
      </w:r>
      <w:r w:rsidRPr="0031498D">
        <w:t>.</w:t>
      </w:r>
      <w:r>
        <w:t xml:space="preserve"> Man ønskede at skabe et fælles marked, hvor der kunne handles uden told</w:t>
      </w:r>
      <w:r>
        <w:rPr>
          <w:rFonts w:ascii="Arial" w:hAnsi="Arial" w:cs="Arial"/>
        </w:rPr>
        <w:t xml:space="preserve">. </w:t>
      </w:r>
      <w:r>
        <w:rPr>
          <w:rFonts w:asciiTheme="minorHAnsi" w:hAnsiTheme="minorHAnsi" w:cs="Arial"/>
        </w:rPr>
        <w:t>Det ville nemlig komme medlemslandene til gode, da varerne INDENFOR det fælles marked blev billigere for forbrugerne.</w:t>
      </w:r>
    </w:p>
    <w:p w:rsidR="003900DF" w:rsidRDefault="003900DF" w:rsidP="003900DF">
      <w:pPr>
        <w:pStyle w:val="NormalEfter6pkt"/>
      </w:pPr>
      <w:r>
        <w:t xml:space="preserve">EF-samarbejdet viste sig hurtigt at være en god ide. Medlemslandene oplevede meget vækst, og det blev derfor attraktivt for andre lande at søge medlemskab. </w:t>
      </w:r>
    </w:p>
    <w:p w:rsidR="003900DF" w:rsidRDefault="003900DF" w:rsidP="003900DF">
      <w:pPr>
        <w:pStyle w:val="NormalEfter6pkt"/>
      </w:pPr>
      <w:r>
        <w:t>Storbritannien, Irland og Danmark søgte derfor medlemskab og fik det i 1973. På billedet herover kan du se de 6 oprindelige medlemslande (blå) og de 3 nye medlemslande, der blev en del af EF i 1973. Bemærk at Grønland var en del af EF.</w:t>
      </w:r>
    </w:p>
    <w:p w:rsidR="003900DF" w:rsidRDefault="003900DF" w:rsidP="003900DF">
      <w:pPr>
        <w:pStyle w:val="NormalEfter6pkt"/>
      </w:pPr>
      <w:r>
        <w:t>Andre steder i Europa viste de også interesse, og da først Spanien, Portugal og Grækenland var overgået fra diktaturer til demokratier, blev disse i henholdsvis 1981 og 1986 medlem af EF. Dermed bestod EF af 12 lande.</w:t>
      </w:r>
    </w:p>
    <w:p w:rsidR="003900DF" w:rsidRDefault="003900DF" w:rsidP="003900DF">
      <w:pPr>
        <w:pStyle w:val="NormalEfter6pkt"/>
      </w:pPr>
      <w:r>
        <w:t>I begyndelsen af 80´erne var der økonomisk krise i Danmark. Der var lav vækst og høj arbejdsløshed. For at løse det problem vedtog man i 1986 "EF-pakken". Formålet var at fremme mulighederne for at handle sig ud af krisen ved at fjerne alle hindringer for handel. Det gjorde man ved at skabe "Det indre marked", der fjernede mere end 300 tekniske handelshindringer, og dermed gjorde det nemmere at handle medlemslandene imellem.</w:t>
      </w:r>
    </w:p>
    <w:p w:rsidR="003900DF" w:rsidRDefault="003900DF" w:rsidP="003900DF">
      <w:pPr>
        <w:pStyle w:val="NormalEfter6pkt"/>
      </w:pPr>
      <w:r>
        <w:lastRenderedPageBreak/>
        <w:t xml:space="preserve">Den nye aftale betød også, at både </w:t>
      </w:r>
      <w:proofErr w:type="spellStart"/>
      <w:r>
        <w:t>Europa-parlamentet</w:t>
      </w:r>
      <w:proofErr w:type="spellEnd"/>
      <w:r>
        <w:t xml:space="preserve"> og ministerrådet fik mere magt.</w:t>
      </w:r>
    </w:p>
    <w:p w:rsidR="003900DF" w:rsidRDefault="003900DF" w:rsidP="003900DF">
      <w:pPr>
        <w:pStyle w:val="NormalEfter6pkt"/>
        <w:jc w:val="center"/>
        <w:rPr>
          <w:rFonts w:ascii="Times New Roman" w:hAnsi="Times New Roman"/>
          <w:b/>
          <w:bCs/>
          <w:color w:val="000000"/>
          <w:shd w:val="clear" w:color="auto" w:fill="FFFFFF"/>
          <w:lang w:eastAsia="da-DK"/>
        </w:rPr>
      </w:pPr>
      <w:r w:rsidRPr="00C46AF9">
        <w:rPr>
          <w:rFonts w:ascii="Times New Roman" w:hAnsi="Times New Roman"/>
          <w:b/>
          <w:bCs/>
          <w:color w:val="000000"/>
          <w:shd w:val="clear" w:color="auto" w:fill="FFFFFF"/>
          <w:lang w:eastAsia="da-DK"/>
        </w:rPr>
        <w:t>POST 3</w:t>
      </w:r>
    </w:p>
    <w:p w:rsidR="003900DF" w:rsidRDefault="003900DF" w:rsidP="003900DF">
      <w:pPr>
        <w:pStyle w:val="NormalEfter6pkt"/>
        <w:jc w:val="center"/>
      </w:pPr>
      <w:r>
        <w:rPr>
          <w:noProof/>
          <w:lang w:eastAsia="da-DK"/>
        </w:rPr>
        <w:drawing>
          <wp:inline distT="0" distB="0" distL="0" distR="0" wp14:anchorId="0F1A1E51" wp14:editId="7809D57A">
            <wp:extent cx="5257800" cy="2971800"/>
            <wp:effectExtent l="0" t="0" r="0" b="0"/>
            <wp:docPr id="4" name="Billede 4" descr="https://upload.wikimedia.org/wikipedia/commons/thumb/a/a5/EC12-1986_European_Community_map.svg/680px-EC12-1986_European_Community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5/EC12-1986_European_Community_map.svg/680px-EC12-1986_European_Community_map.svg.png"/>
                    <pic:cNvPicPr>
                      <a:picLocks noChangeAspect="1" noChangeArrowheads="1"/>
                    </pic:cNvPicPr>
                  </pic:nvPicPr>
                  <pic:blipFill>
                    <a:blip r:embed="rId17" r:link="rId18"/>
                    <a:srcRect l="1181" t="27361"/>
                    <a:stretch>
                      <a:fillRect/>
                    </a:stretch>
                  </pic:blipFill>
                  <pic:spPr bwMode="auto">
                    <a:xfrm>
                      <a:off x="0" y="0"/>
                      <a:ext cx="5257800" cy="2971800"/>
                    </a:xfrm>
                    <a:prstGeom prst="rect">
                      <a:avLst/>
                    </a:prstGeom>
                    <a:noFill/>
                    <a:ln w="9525">
                      <a:noFill/>
                      <a:miter lim="800000"/>
                      <a:headEnd/>
                      <a:tailEnd/>
                    </a:ln>
                  </pic:spPr>
                </pic:pic>
              </a:graphicData>
            </a:graphic>
          </wp:inline>
        </w:drawing>
      </w:r>
    </w:p>
    <w:p w:rsidR="003900DF" w:rsidRDefault="003900DF" w:rsidP="003900DF">
      <w:pPr>
        <w:pStyle w:val="NormalEfter6pkt"/>
        <w:rPr>
          <w:rFonts w:ascii="Times New Roman" w:hAnsi="Times New Roman"/>
          <w:color w:val="000000"/>
          <w:sz w:val="16"/>
          <w:szCs w:val="16"/>
          <w:shd w:val="clear" w:color="auto" w:fill="FFFFFF"/>
          <w:lang w:eastAsia="da-DK"/>
        </w:rPr>
      </w:pPr>
      <w:r w:rsidRPr="009C6B34">
        <w:rPr>
          <w:rFonts w:ascii="Times New Roman" w:hAnsi="Times New Roman"/>
          <w:color w:val="000000"/>
          <w:sz w:val="16"/>
          <w:szCs w:val="16"/>
          <w:shd w:val="clear" w:color="auto" w:fill="FFFFFF"/>
          <w:lang w:eastAsia="da-DK"/>
        </w:rPr>
        <w:t xml:space="preserve"> </w:t>
      </w:r>
      <w:hyperlink r:id="rId19" w:history="1">
        <w:r w:rsidRPr="004A300B">
          <w:rPr>
            <w:rStyle w:val="Hyperlink"/>
            <w:rFonts w:ascii="Times New Roman" w:hAnsi="Times New Roman"/>
            <w:sz w:val="16"/>
            <w:szCs w:val="16"/>
            <w:shd w:val="clear" w:color="auto" w:fill="FFFFFF"/>
            <w:lang w:eastAsia="da-DK"/>
          </w:rPr>
          <w:t>https://upload.wikimedia.org/wikipedia/commons/a/a5/EC12-1986_European_Community_map.svg</w:t>
        </w:r>
      </w:hyperlink>
    </w:p>
    <w:p w:rsidR="003900DF" w:rsidRPr="009C6B34" w:rsidRDefault="003900DF" w:rsidP="003900DF">
      <w:pPr>
        <w:pStyle w:val="NormalEfter6pkt"/>
        <w:rPr>
          <w:rFonts w:ascii="Times New Roman" w:hAnsi="Times New Roman"/>
          <w:color w:val="000000"/>
          <w:sz w:val="16"/>
          <w:szCs w:val="16"/>
          <w:shd w:val="clear" w:color="auto" w:fill="FFFFFF"/>
          <w:lang w:eastAsia="da-DK"/>
        </w:rPr>
      </w:pPr>
    </w:p>
    <w:p w:rsidR="003900DF" w:rsidRPr="007B52EC" w:rsidRDefault="003900DF" w:rsidP="003900DF">
      <w:pPr>
        <w:pStyle w:val="NormalEfter6pkt"/>
        <w:rPr>
          <w:shd w:val="clear" w:color="auto" w:fill="FFFFFF"/>
        </w:rPr>
      </w:pPr>
      <w:r w:rsidRPr="00DC0B13">
        <w:rPr>
          <w:szCs w:val="16"/>
          <w:shd w:val="clear" w:color="auto" w:fill="FFFFFF"/>
        </w:rPr>
        <w:t xml:space="preserve">På </w:t>
      </w:r>
      <w:r w:rsidRPr="007B52EC">
        <w:rPr>
          <w:szCs w:val="16"/>
          <w:shd w:val="clear" w:color="auto" w:fill="FFFFFF"/>
        </w:rPr>
        <w:t>billedet herover ser du de medlemslande, der var en del af EF i 1986</w:t>
      </w:r>
      <w:r w:rsidRPr="007B52EC">
        <w:rPr>
          <w:shd w:val="clear" w:color="auto" w:fill="FFFFFF"/>
        </w:rPr>
        <w:t xml:space="preserve">. Du har måske </w:t>
      </w:r>
      <w:r>
        <w:rPr>
          <w:shd w:val="clear" w:color="auto" w:fill="FFFFFF"/>
        </w:rPr>
        <w:t>bemærket, at det ikke er hele Ty</w:t>
      </w:r>
      <w:r w:rsidRPr="007B52EC">
        <w:rPr>
          <w:shd w:val="clear" w:color="auto" w:fill="FFFFFF"/>
        </w:rPr>
        <w:t>skla</w:t>
      </w:r>
      <w:r>
        <w:rPr>
          <w:shd w:val="clear" w:color="auto" w:fill="FFFFFF"/>
        </w:rPr>
        <w:t>nd, der er medlem. Fra 1949-1990</w:t>
      </w:r>
      <w:r w:rsidRPr="007B52EC">
        <w:rPr>
          <w:shd w:val="clear" w:color="auto" w:fill="FFFFFF"/>
        </w:rPr>
        <w:t xml:space="preserve"> var Tyskland nemlig delt, som følge af Den Kolde Krig. Vesttyskland, også kaldt BRD, var demokratisk og liberal</w:t>
      </w:r>
      <w:r>
        <w:rPr>
          <w:shd w:val="clear" w:color="auto" w:fill="FFFFFF"/>
        </w:rPr>
        <w:t>t</w:t>
      </w:r>
      <w:r w:rsidRPr="007B52EC">
        <w:rPr>
          <w:shd w:val="clear" w:color="auto" w:fill="FFFFFF"/>
        </w:rPr>
        <w:t>, mens Østtyskland, også kaldt DDR, var kommunistisk. Berlin, der i dag er Tysklands hovedstad, var også delt i en Vest-</w:t>
      </w:r>
      <w:r>
        <w:rPr>
          <w:shd w:val="clear" w:color="auto" w:fill="FFFFFF"/>
        </w:rPr>
        <w:t xml:space="preserve"> </w:t>
      </w:r>
      <w:r w:rsidRPr="007B52EC">
        <w:rPr>
          <w:shd w:val="clear" w:color="auto" w:fill="FFFFFF"/>
        </w:rPr>
        <w:t>og Østtysk del. Derfor er der en lille blå prik på kortet, der hvor Berlin ligger. Vestberlin blev styret fra Vesttyskland. Berlin var delt i to med en mur, bedre kendt som Berlinmuren.</w:t>
      </w:r>
    </w:p>
    <w:p w:rsidR="003900DF" w:rsidRDefault="003900DF" w:rsidP="003900DF">
      <w:pPr>
        <w:pStyle w:val="NormalEfter6pkt"/>
        <w:rPr>
          <w:shd w:val="clear" w:color="auto" w:fill="FFFFFF"/>
          <w:lang w:eastAsia="da-DK"/>
        </w:rPr>
      </w:pPr>
      <w:r w:rsidRPr="00791CB8">
        <w:rPr>
          <w:shd w:val="clear" w:color="auto" w:fill="FFFFFF"/>
          <w:lang w:eastAsia="da-DK"/>
        </w:rPr>
        <w:t>Dengang fyldte det s</w:t>
      </w:r>
      <w:r>
        <w:rPr>
          <w:shd w:val="clear" w:color="auto" w:fill="FFFFFF"/>
          <w:lang w:eastAsia="da-DK"/>
        </w:rPr>
        <w:t xml:space="preserve">ikkerhedspolitiske meget lidt inden for EF. Man havde </w:t>
      </w:r>
      <w:r w:rsidRPr="00791CB8">
        <w:rPr>
          <w:shd w:val="clear" w:color="auto" w:fill="FFFFFF"/>
          <w:lang w:eastAsia="da-DK"/>
        </w:rPr>
        <w:t>i Europa</w:t>
      </w:r>
      <w:r>
        <w:rPr>
          <w:shd w:val="clear" w:color="auto" w:fill="FFFFFF"/>
          <w:lang w:eastAsia="da-DK"/>
        </w:rPr>
        <w:t xml:space="preserve"> ikke</w:t>
      </w:r>
      <w:r w:rsidRPr="00791CB8">
        <w:rPr>
          <w:shd w:val="clear" w:color="auto" w:fill="FFFFFF"/>
          <w:lang w:eastAsia="da-DK"/>
        </w:rPr>
        <w:t xml:space="preserve"> </w:t>
      </w:r>
      <w:r>
        <w:rPr>
          <w:shd w:val="clear" w:color="auto" w:fill="FFFFFF"/>
          <w:lang w:eastAsia="da-DK"/>
        </w:rPr>
        <w:t>det store behov for en fælles sikkerhedspolitik,</w:t>
      </w:r>
      <w:r w:rsidRPr="00791CB8">
        <w:rPr>
          <w:shd w:val="clear" w:color="auto" w:fill="FFFFFF"/>
          <w:lang w:eastAsia="da-DK"/>
        </w:rPr>
        <w:t xml:space="preserve"> </w:t>
      </w:r>
      <w:r>
        <w:rPr>
          <w:shd w:val="clear" w:color="auto" w:fill="FFFFFF"/>
          <w:lang w:eastAsia="da-DK"/>
        </w:rPr>
        <w:t xml:space="preserve">da man følte sig sikker på, </w:t>
      </w:r>
      <w:r w:rsidRPr="00791CB8">
        <w:rPr>
          <w:shd w:val="clear" w:color="auto" w:fill="FFFFFF"/>
          <w:lang w:eastAsia="da-DK"/>
        </w:rPr>
        <w:t>at amerikanerne til enhver tid ville være villige</w:t>
      </w:r>
      <w:r>
        <w:rPr>
          <w:shd w:val="clear" w:color="auto" w:fill="FFFFFF"/>
          <w:lang w:eastAsia="da-DK"/>
        </w:rPr>
        <w:t xml:space="preserve"> til at forsvare Europa mod de</w:t>
      </w:r>
      <w:r w:rsidRPr="00791CB8">
        <w:rPr>
          <w:shd w:val="clear" w:color="auto" w:fill="FFFFFF"/>
          <w:lang w:eastAsia="da-DK"/>
        </w:rPr>
        <w:t xml:space="preserve"> eneste reelle fjender: Kommunisterne i USSR. </w:t>
      </w:r>
    </w:p>
    <w:p w:rsidR="003900DF" w:rsidRDefault="003900DF" w:rsidP="003900DF">
      <w:pPr>
        <w:pStyle w:val="NormalEfter6pkt"/>
        <w:rPr>
          <w:shd w:val="clear" w:color="auto" w:fill="FFFFFF"/>
          <w:lang w:eastAsia="da-DK"/>
        </w:rPr>
      </w:pPr>
      <w:r w:rsidRPr="00791CB8">
        <w:rPr>
          <w:shd w:val="clear" w:color="auto" w:fill="FFFFFF"/>
          <w:lang w:eastAsia="da-DK"/>
        </w:rPr>
        <w:t xml:space="preserve">Men med Murens Fald og Sovjetunionens sammenbrud </w:t>
      </w:r>
      <w:r>
        <w:rPr>
          <w:shd w:val="clear" w:color="auto" w:fill="FFFFFF"/>
          <w:lang w:eastAsia="da-DK"/>
        </w:rPr>
        <w:t>i 1991</w:t>
      </w:r>
      <w:r w:rsidRPr="00E6679B">
        <w:rPr>
          <w:shd w:val="clear" w:color="auto" w:fill="FFFFFF"/>
          <w:lang w:eastAsia="da-DK"/>
        </w:rPr>
        <w:t xml:space="preserve"> </w:t>
      </w:r>
      <w:r w:rsidRPr="00791CB8">
        <w:rPr>
          <w:shd w:val="clear" w:color="auto" w:fill="FFFFFF"/>
          <w:lang w:eastAsia="da-DK"/>
        </w:rPr>
        <w:t>ops</w:t>
      </w:r>
      <w:r w:rsidRPr="00E6679B">
        <w:rPr>
          <w:shd w:val="clear" w:color="auto" w:fill="FFFFFF"/>
          <w:lang w:eastAsia="da-DK"/>
        </w:rPr>
        <w:t>tod der et øget behov for at med</w:t>
      </w:r>
      <w:r w:rsidRPr="00791CB8">
        <w:rPr>
          <w:shd w:val="clear" w:color="auto" w:fill="FFFFFF"/>
          <w:lang w:eastAsia="da-DK"/>
        </w:rPr>
        <w:t>tænke det sikkerhedspolitiske i det europæiske samarbejde, ligesom man stod overfor udfordringer i forhold til et genforenet Tyskland</w:t>
      </w:r>
      <w:r>
        <w:rPr>
          <w:shd w:val="clear" w:color="auto" w:fill="FFFFFF"/>
          <w:lang w:eastAsia="da-DK"/>
        </w:rPr>
        <w:t xml:space="preserve"> (Tyskland blev genforenet som én samlet stat i 1990)</w:t>
      </w:r>
      <w:r w:rsidRPr="00791CB8">
        <w:rPr>
          <w:shd w:val="clear" w:color="auto" w:fill="FFFFFF"/>
          <w:lang w:eastAsia="da-DK"/>
        </w:rPr>
        <w:t xml:space="preserve">. Alt sammen </w:t>
      </w:r>
      <w:r>
        <w:rPr>
          <w:shd w:val="clear" w:color="auto" w:fill="FFFFFF"/>
          <w:lang w:eastAsia="da-DK"/>
        </w:rPr>
        <w:t>krævede</w:t>
      </w:r>
      <w:r w:rsidRPr="00791CB8">
        <w:rPr>
          <w:shd w:val="clear" w:color="auto" w:fill="FFFFFF"/>
          <w:lang w:eastAsia="da-DK"/>
        </w:rPr>
        <w:t xml:space="preserve"> det både forandringer og </w:t>
      </w:r>
      <w:r>
        <w:rPr>
          <w:shd w:val="clear" w:color="auto" w:fill="FFFFFF"/>
          <w:lang w:eastAsia="da-DK"/>
        </w:rPr>
        <w:t xml:space="preserve">et </w:t>
      </w:r>
      <w:r w:rsidRPr="00791CB8">
        <w:rPr>
          <w:shd w:val="clear" w:color="auto" w:fill="FFFFFF"/>
          <w:lang w:eastAsia="da-DK"/>
        </w:rPr>
        <w:t>s</w:t>
      </w:r>
      <w:r>
        <w:rPr>
          <w:shd w:val="clear" w:color="auto" w:fill="FFFFFF"/>
          <w:lang w:eastAsia="da-DK"/>
        </w:rPr>
        <w:t>tærkere samarbejde inden for EF. Et nyt formål opstod: at få en stærkere international position gennem europæisk samarbejde.,.</w:t>
      </w:r>
    </w:p>
    <w:p w:rsidR="003900DF" w:rsidRDefault="003900DF" w:rsidP="003900DF">
      <w:pPr>
        <w:pStyle w:val="NormalEfter6pkt"/>
        <w:rPr>
          <w:shd w:val="clear" w:color="auto" w:fill="FFFFFF"/>
        </w:rPr>
      </w:pPr>
      <w:r w:rsidRPr="00791CB8">
        <w:rPr>
          <w:shd w:val="clear" w:color="auto" w:fill="FFFFFF"/>
        </w:rPr>
        <w:t xml:space="preserve"> Da </w:t>
      </w:r>
      <w:r w:rsidRPr="007B52EC">
        <w:rPr>
          <w:shd w:val="clear" w:color="auto" w:fill="FFFFFF"/>
        </w:rPr>
        <w:t>Berlin</w:t>
      </w:r>
      <w:r w:rsidRPr="00791CB8">
        <w:rPr>
          <w:shd w:val="clear" w:color="auto" w:fill="FFFFFF"/>
        </w:rPr>
        <w:t xml:space="preserve">muren </w:t>
      </w:r>
      <w:r w:rsidRPr="007B52EC">
        <w:rPr>
          <w:shd w:val="clear" w:color="auto" w:fill="FFFFFF"/>
        </w:rPr>
        <w:t>faldt i 1989 og kommunismen brød sammen i 1991 viste</w:t>
      </w:r>
      <w:r w:rsidRPr="00791CB8">
        <w:rPr>
          <w:shd w:val="clear" w:color="auto" w:fill="FFFFFF"/>
        </w:rPr>
        <w:t xml:space="preserve"> landene bag jerntæppet interesse for at blive optaget i samarbejdet, og dermed blev det nødvendigt at nytænke </w:t>
      </w:r>
      <w:r>
        <w:rPr>
          <w:shd w:val="clear" w:color="auto" w:fill="FFFFFF"/>
        </w:rPr>
        <w:t>EF</w:t>
      </w:r>
      <w:r w:rsidRPr="00791CB8">
        <w:rPr>
          <w:shd w:val="clear" w:color="auto" w:fill="FFFFFF"/>
        </w:rPr>
        <w:t xml:space="preserve">. </w:t>
      </w:r>
    </w:p>
    <w:p w:rsidR="003900DF" w:rsidRDefault="003900DF" w:rsidP="003900DF">
      <w:pPr>
        <w:pStyle w:val="NormalEfter6pkt"/>
        <w:rPr>
          <w:shd w:val="clear" w:color="auto" w:fill="FFFFFF"/>
        </w:rPr>
      </w:pPr>
    </w:p>
    <w:p w:rsidR="003900DF" w:rsidRDefault="003900DF" w:rsidP="003900DF">
      <w:pPr>
        <w:pStyle w:val="NormalEfter6pkt"/>
        <w:rPr>
          <w:shd w:val="clear" w:color="auto" w:fill="FFFFFF"/>
        </w:rPr>
      </w:pPr>
    </w:p>
    <w:p w:rsidR="003900DF" w:rsidRDefault="003900DF" w:rsidP="003900DF">
      <w:pPr>
        <w:pStyle w:val="NormalEfter6pkt"/>
        <w:rPr>
          <w:shd w:val="clear" w:color="auto" w:fill="FFFFFF"/>
        </w:rPr>
      </w:pPr>
    </w:p>
    <w:p w:rsidR="003900DF" w:rsidRDefault="003900DF" w:rsidP="003900DF">
      <w:pPr>
        <w:pStyle w:val="NormalEfter6pkt"/>
        <w:rPr>
          <w:shd w:val="clear" w:color="auto" w:fill="FFFFFF"/>
        </w:rPr>
      </w:pPr>
    </w:p>
    <w:p w:rsidR="003900DF" w:rsidRPr="00DC0B13" w:rsidRDefault="003900DF" w:rsidP="003900DF">
      <w:pPr>
        <w:pStyle w:val="NormalEfter6pkt"/>
        <w:jc w:val="center"/>
        <w:rPr>
          <w:b/>
          <w:shd w:val="clear" w:color="auto" w:fill="FFFFFF"/>
        </w:rPr>
      </w:pPr>
      <w:r w:rsidRPr="00DC0B13">
        <w:rPr>
          <w:b/>
          <w:shd w:val="clear" w:color="auto" w:fill="FFFFFF"/>
        </w:rPr>
        <w:lastRenderedPageBreak/>
        <w:t>POST 4</w:t>
      </w:r>
    </w:p>
    <w:p w:rsidR="003900DF" w:rsidRDefault="003900DF" w:rsidP="003900DF">
      <w:pPr>
        <w:pStyle w:val="NormalEfter6pkt"/>
        <w:rPr>
          <w:shd w:val="clear" w:color="auto" w:fill="FFFFFF"/>
        </w:rPr>
      </w:pPr>
      <w:r>
        <w:rPr>
          <w:shd w:val="clear" w:color="auto" w:fill="FFFFFF"/>
        </w:rPr>
        <w:t xml:space="preserve">I 1993 trådte Maastricht-traktaten i kraft og </w:t>
      </w:r>
      <w:r w:rsidRPr="00791CB8">
        <w:rPr>
          <w:shd w:val="clear" w:color="auto" w:fill="FFFFFF"/>
        </w:rPr>
        <w:t xml:space="preserve">EF blev til EU, og dermed var der ikke kun tale om et økonomisk samarbejde, men også et politisk. </w:t>
      </w:r>
      <w:r>
        <w:rPr>
          <w:shd w:val="clear" w:color="auto" w:fill="FFFFFF"/>
        </w:rPr>
        <w:t>I 1995 blev Finland, Sverige og Østrig medlem af EU. I 2004 blev yderligere 10 medlemslande optaget og i 2007 yderligere to medlemslande. De fleste af dem havde været tidligere kommunistiske lande. I 2013 blev Kroatien det 28. medlemsland i EU.</w:t>
      </w:r>
    </w:p>
    <w:p w:rsidR="003900DF" w:rsidRPr="007B52EC" w:rsidRDefault="003900DF" w:rsidP="003900DF">
      <w:pPr>
        <w:pStyle w:val="NormalEfter6pkt"/>
        <w:rPr>
          <w:shd w:val="clear" w:color="auto" w:fill="FFFFFF"/>
        </w:rPr>
      </w:pPr>
      <w:r>
        <w:rPr>
          <w:shd w:val="clear" w:color="auto" w:fill="FFFFFF"/>
        </w:rPr>
        <w:t xml:space="preserve">På kortet her kan du se, hvor EU ser ud anno 2016. Der er sket meget siden de oprindelige 6 lande startede ”Kul- og stålunionen”. Ikke bare i forhold til medlemslande, men også i forhold til formålet. </w:t>
      </w:r>
    </w:p>
    <w:p w:rsidR="003900DF" w:rsidRDefault="003900DF" w:rsidP="003900DF">
      <w:pPr>
        <w:pStyle w:val="NormalEfter6pkt"/>
        <w:rPr>
          <w:shd w:val="clear" w:color="auto" w:fill="FFFFFF"/>
        </w:rPr>
      </w:pPr>
      <w:r>
        <w:rPr>
          <w:noProof/>
          <w:lang w:eastAsia="da-DK"/>
        </w:rPr>
        <w:drawing>
          <wp:inline distT="0" distB="0" distL="0" distR="0" wp14:anchorId="5FD425E6" wp14:editId="68BECAA2">
            <wp:extent cx="4972050" cy="3802156"/>
            <wp:effectExtent l="19050" t="0" r="0" b="0"/>
            <wp:docPr id="6" name="Billede 6" descr="https://upload.wikimedia.org/wikipedia/commons/thumb/f/f3/EU28-2013_European_Union_map.svg/680px-EU28-2013_European_Union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3/EU28-2013_European_Union_map.svg/680px-EU28-2013_European_Union_map.svg.png"/>
                    <pic:cNvPicPr>
                      <a:picLocks noChangeAspect="1" noChangeArrowheads="1"/>
                    </pic:cNvPicPr>
                  </pic:nvPicPr>
                  <pic:blipFill>
                    <a:blip r:embed="rId8" r:link="rId20"/>
                    <a:srcRect/>
                    <a:stretch>
                      <a:fillRect/>
                    </a:stretch>
                  </pic:blipFill>
                  <pic:spPr bwMode="auto">
                    <a:xfrm>
                      <a:off x="0" y="0"/>
                      <a:ext cx="4972050" cy="3802156"/>
                    </a:xfrm>
                    <a:prstGeom prst="rect">
                      <a:avLst/>
                    </a:prstGeom>
                    <a:noFill/>
                    <a:ln w="9525">
                      <a:noFill/>
                      <a:miter lim="800000"/>
                      <a:headEnd/>
                      <a:tailEnd/>
                    </a:ln>
                  </pic:spPr>
                </pic:pic>
              </a:graphicData>
            </a:graphic>
          </wp:inline>
        </w:drawing>
      </w:r>
    </w:p>
    <w:p w:rsidR="003900DF" w:rsidRDefault="003900DF" w:rsidP="003900DF">
      <w:pPr>
        <w:pStyle w:val="NormalEfter6pkt"/>
        <w:rPr>
          <w:sz w:val="16"/>
          <w:szCs w:val="16"/>
        </w:rPr>
      </w:pPr>
      <w:hyperlink r:id="rId21" w:history="1">
        <w:r w:rsidRPr="004A300B">
          <w:rPr>
            <w:rStyle w:val="Hyperlink"/>
            <w:sz w:val="16"/>
            <w:szCs w:val="16"/>
          </w:rPr>
          <w:t>https://upload.wikimedia.org/wikipedia/commons/f/f3/EU28-2013_European_Union_map.svg</w:t>
        </w:r>
      </w:hyperlink>
    </w:p>
    <w:p w:rsidR="003900DF" w:rsidRPr="009C6B34" w:rsidRDefault="003900DF" w:rsidP="003900DF">
      <w:pPr>
        <w:pStyle w:val="NormalEfter6pkt"/>
      </w:pP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Efter Maastricht i 1993 kom senere Amsterdam-traktaten i 1997, Nice-traktaten i 2001 og senest Lissabon-traktaten i 2007. Amsterdam-traktatens primære formål var at ændre på EU's opbygning, så de kommende nye lande kunne blive medlemmer. Et af målene her var at skabe en mere overskuelig og gennemsigtig beslutningsproces.</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Nice-traktaten handlede også om at ændre på EU´s opbygning, så det fungerede mere effektivt efter EU var blevet udvidet til 25 medlemslande. Man ændrede fx på Kommissionens sammensætning og indførte et andet afstemningssystem i Ministerrådet.</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 xml:space="preserve">Med Lissabon-traktaten ønskede man at gøre EU mere demokratisk og effektiv og bedre i stand til at håndtere globale udfordringer, fx klimaforandringer, som én samlet union. Traktaten gav også mere magt til </w:t>
      </w:r>
      <w:proofErr w:type="spellStart"/>
      <w:r w:rsidRPr="009C6B34">
        <w:rPr>
          <w:rFonts w:asciiTheme="minorHAnsi" w:hAnsiTheme="minorHAnsi"/>
          <w:color w:val="000000"/>
          <w:shd w:val="clear" w:color="auto" w:fill="FFFFFF"/>
          <w:lang w:eastAsia="da-DK"/>
        </w:rPr>
        <w:t>Europa-parlamentet</w:t>
      </w:r>
      <w:proofErr w:type="spellEnd"/>
      <w:r w:rsidRPr="009C6B34">
        <w:rPr>
          <w:rFonts w:asciiTheme="minorHAnsi" w:hAnsiTheme="minorHAnsi"/>
          <w:color w:val="000000"/>
          <w:shd w:val="clear" w:color="auto" w:fill="FFFFFF"/>
          <w:lang w:eastAsia="da-DK"/>
        </w:rPr>
        <w:t>.</w:t>
      </w:r>
    </w:p>
    <w:p w:rsidR="003900DF" w:rsidRDefault="003900DF" w:rsidP="003900DF">
      <w:pPr>
        <w:spacing w:after="120"/>
        <w:rPr>
          <w:rFonts w:ascii="Times New Roman" w:hAnsi="Times New Roman"/>
          <w:color w:val="000000"/>
          <w:shd w:val="clear" w:color="auto" w:fill="FFFFFF"/>
          <w:lang w:eastAsia="da-DK"/>
        </w:rPr>
      </w:pPr>
    </w:p>
    <w:p w:rsidR="003900DF" w:rsidRDefault="003900DF" w:rsidP="003900DF">
      <w:pPr>
        <w:spacing w:after="120"/>
        <w:rPr>
          <w:rFonts w:ascii="Times New Roman" w:hAnsi="Times New Roman"/>
          <w:color w:val="000000"/>
          <w:shd w:val="clear" w:color="auto" w:fill="FFFFFF"/>
          <w:lang w:eastAsia="da-DK"/>
        </w:rPr>
      </w:pPr>
    </w:p>
    <w:p w:rsidR="003900DF" w:rsidRPr="00E473A6" w:rsidRDefault="003900DF" w:rsidP="003900DF">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t>Bilag</w:t>
      </w:r>
      <w:r>
        <w:rPr>
          <w:rFonts w:ascii="Cambria" w:hAnsi="Cambria"/>
          <w:color w:val="17365D"/>
          <w:spacing w:val="5"/>
          <w:kern w:val="28"/>
          <w:sz w:val="52"/>
          <w:szCs w:val="52"/>
        </w:rPr>
        <w:t xml:space="preserve"> 2 Spørgsmål til skattejagten </w:t>
      </w:r>
    </w:p>
    <w:p w:rsidR="003900DF" w:rsidRPr="00564373" w:rsidRDefault="003900DF" w:rsidP="003900DF">
      <w:pPr>
        <w:spacing w:after="0"/>
      </w:pPr>
    </w:p>
    <w:p w:rsidR="003900DF" w:rsidRPr="00564373" w:rsidRDefault="003900DF" w:rsidP="003900DF">
      <w:pPr>
        <w:spacing w:after="0"/>
      </w:pP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Hvad var det oprindelige mål med Kul- og stålunionen?</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Hvornår blev Kul- og stålunionen oprettet?</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Hvornår blev Kul- og stålunionen til EF?</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Hvad var formålet med EF?</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Hvorfor ønskede flere lande at blive en del af EF i 70´erne og 80´erne?</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Hvad var formålet med ”EF-pakken”?</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Hvorfor var hele Tyskland ikke en del af EF før 1990?</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Hvilken rolle spiller afslutningen af den kolde krig for EF/EU´s historie?</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Hvornår trådte Maastricht i kraft?</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Hvad var formålet med Maastricht?</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Hvor mange medlemslande er der i dag i EU?</w:t>
      </w:r>
    </w:p>
    <w:p w:rsidR="003900DF" w:rsidRPr="009C6B34" w:rsidRDefault="003900DF" w:rsidP="003900DF">
      <w:pPr>
        <w:spacing w:after="120"/>
        <w:rPr>
          <w:rFonts w:asciiTheme="minorHAnsi" w:hAnsiTheme="minorHAnsi"/>
          <w:color w:val="000000"/>
          <w:shd w:val="clear" w:color="auto" w:fill="FFFFFF"/>
          <w:lang w:eastAsia="da-DK"/>
        </w:rPr>
      </w:pPr>
      <w:r w:rsidRPr="009C6B34">
        <w:rPr>
          <w:rFonts w:asciiTheme="minorHAnsi" w:hAnsiTheme="minorHAnsi"/>
          <w:color w:val="000000"/>
          <w:shd w:val="clear" w:color="auto" w:fill="FFFFFF"/>
          <w:lang w:eastAsia="da-DK"/>
        </w:rPr>
        <w:t>Sammenlign Kul- og stålunionen med EU i dag. Hvad har ændret sig?</w:t>
      </w:r>
    </w:p>
    <w:p w:rsidR="003900DF" w:rsidRPr="009C6B34" w:rsidRDefault="003900DF" w:rsidP="003900DF">
      <w:pPr>
        <w:spacing w:after="120"/>
        <w:rPr>
          <w:rFonts w:asciiTheme="minorHAnsi" w:hAnsiTheme="minorHAnsi"/>
          <w:color w:val="000000"/>
          <w:u w:val="single"/>
          <w:shd w:val="clear" w:color="auto" w:fill="FFFFFF"/>
          <w:lang w:eastAsia="da-DK"/>
        </w:rPr>
      </w:pPr>
    </w:p>
    <w:p w:rsidR="003900DF" w:rsidRPr="00EC5144" w:rsidRDefault="003900DF" w:rsidP="003900DF">
      <w:pPr>
        <w:spacing w:after="0"/>
        <w:rPr>
          <w:rFonts w:asciiTheme="minorHAnsi" w:hAnsiTheme="minorHAnsi"/>
          <w:color w:val="1F2E4F"/>
          <w:shd w:val="clear" w:color="auto" w:fill="FFFFFF"/>
        </w:rPr>
      </w:pPr>
    </w:p>
    <w:p w:rsidR="00A604E5" w:rsidRDefault="00A604E5">
      <w:bookmarkStart w:id="0" w:name="_GoBack"/>
      <w:bookmarkEnd w:id="0"/>
    </w:p>
    <w:sectPr w:rsidR="00A604E5"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6B67"/>
    <w:multiLevelType w:val="hybridMultilevel"/>
    <w:tmpl w:val="088665AC"/>
    <w:lvl w:ilvl="0" w:tplc="964C53CC">
      <w:start w:val="28"/>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DC41FE6"/>
    <w:multiLevelType w:val="hybridMultilevel"/>
    <w:tmpl w:val="C0EEEE6E"/>
    <w:lvl w:ilvl="0" w:tplc="C75A80DA">
      <w:start w:val="24"/>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DF"/>
    <w:rsid w:val="003900DF"/>
    <w:rsid w:val="00A604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DF"/>
    <w:rPr>
      <w:rFonts w:ascii="Calibri" w:eastAsia="Calibri" w:hAnsi="Calibri" w:cs="Times New Roman"/>
    </w:rPr>
  </w:style>
  <w:style w:type="paragraph" w:styleId="Overskrift1">
    <w:name w:val="heading 1"/>
    <w:basedOn w:val="Normal"/>
    <w:next w:val="Normal"/>
    <w:link w:val="Overskrift1Tegn"/>
    <w:uiPriority w:val="99"/>
    <w:qFormat/>
    <w:rsid w:val="003900DF"/>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3900DF"/>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3900DF"/>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9"/>
    <w:rsid w:val="003900DF"/>
    <w:rPr>
      <w:rFonts w:ascii="Cambria" w:eastAsia="Times New Roman" w:hAnsi="Cambria" w:cs="Times New Roman"/>
      <w:b/>
      <w:bCs/>
      <w:color w:val="4F81BD"/>
      <w:sz w:val="26"/>
      <w:szCs w:val="26"/>
    </w:rPr>
  </w:style>
  <w:style w:type="table" w:styleId="Tabel-Gitter">
    <w:name w:val="Table Grid"/>
    <w:basedOn w:val="Tabel-Normal"/>
    <w:uiPriority w:val="99"/>
    <w:rsid w:val="003900DF"/>
    <w:pPr>
      <w:spacing w:after="0" w:line="240" w:lineRule="auto"/>
    </w:pPr>
    <w:rPr>
      <w:rFonts w:ascii="Calibri" w:eastAsia="Calibri" w:hAnsi="Calibri"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uiPriority w:val="99"/>
    <w:rsid w:val="003900DF"/>
    <w:pPr>
      <w:widowControl w:val="0"/>
      <w:numPr>
        <w:numId w:val="0"/>
      </w:numPr>
      <w:spacing w:after="0" w:line="240" w:lineRule="auto"/>
    </w:pPr>
    <w:rPr>
      <w:rFonts w:eastAsia="Times New Roman"/>
      <w:sz w:val="18"/>
      <w:lang w:eastAsia="da-DK"/>
    </w:rPr>
  </w:style>
  <w:style w:type="character" w:customStyle="1" w:styleId="Tabel-opstilling-punkttegnTegn">
    <w:name w:val="Tabel - opstilling - punkttegn Tegn"/>
    <w:basedOn w:val="Standardskrifttypeiafsnit"/>
    <w:link w:val="Tabel-opstilling-punkttegn"/>
    <w:uiPriority w:val="99"/>
    <w:locked/>
    <w:rsid w:val="003900DF"/>
    <w:rPr>
      <w:rFonts w:ascii="Calibri" w:eastAsia="Times New Roman" w:hAnsi="Calibri" w:cs="Times New Roman"/>
      <w:sz w:val="18"/>
      <w:lang w:eastAsia="da-DK"/>
    </w:rPr>
  </w:style>
  <w:style w:type="paragraph" w:styleId="Titel">
    <w:name w:val="Title"/>
    <w:basedOn w:val="Normal"/>
    <w:next w:val="Normal"/>
    <w:link w:val="TitelTegn"/>
    <w:uiPriority w:val="99"/>
    <w:qFormat/>
    <w:rsid w:val="003900D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basedOn w:val="Standardskrifttypeiafsnit"/>
    <w:link w:val="Titel"/>
    <w:uiPriority w:val="99"/>
    <w:rsid w:val="003900DF"/>
    <w:rPr>
      <w:rFonts w:ascii="Cambria" w:eastAsia="Times New Roman" w:hAnsi="Cambria" w:cs="Times New Roman"/>
      <w:color w:val="17365D"/>
      <w:spacing w:val="5"/>
      <w:kern w:val="28"/>
      <w:sz w:val="52"/>
      <w:szCs w:val="52"/>
    </w:rPr>
  </w:style>
  <w:style w:type="paragraph" w:styleId="Listeafsnit">
    <w:name w:val="List Paragraph"/>
    <w:basedOn w:val="Normal"/>
    <w:uiPriority w:val="99"/>
    <w:qFormat/>
    <w:rsid w:val="003900DF"/>
    <w:pPr>
      <w:ind w:left="720"/>
      <w:contextualSpacing/>
    </w:pPr>
  </w:style>
  <w:style w:type="character" w:styleId="Hyperlink">
    <w:name w:val="Hyperlink"/>
    <w:basedOn w:val="Standardskrifttypeiafsnit"/>
    <w:uiPriority w:val="99"/>
    <w:rsid w:val="003900DF"/>
    <w:rPr>
      <w:rFonts w:cs="Times New Roman"/>
      <w:color w:val="0000FF"/>
      <w:u w:val="single"/>
    </w:rPr>
  </w:style>
  <w:style w:type="paragraph" w:customStyle="1" w:styleId="NormalEfter6pkt">
    <w:name w:val="Normal + Efter:  6 pkt."/>
    <w:basedOn w:val="Normal"/>
    <w:uiPriority w:val="99"/>
    <w:rsid w:val="003900DF"/>
    <w:pPr>
      <w:spacing w:after="120"/>
    </w:pPr>
  </w:style>
  <w:style w:type="paragraph" w:styleId="Kommentartekst">
    <w:name w:val="annotation text"/>
    <w:basedOn w:val="Normal"/>
    <w:link w:val="KommentartekstTegn"/>
    <w:uiPriority w:val="99"/>
    <w:unhideWhenUsed/>
    <w:rsid w:val="003900DF"/>
    <w:pPr>
      <w:spacing w:line="240" w:lineRule="auto"/>
    </w:pPr>
    <w:rPr>
      <w:sz w:val="20"/>
      <w:szCs w:val="20"/>
    </w:rPr>
  </w:style>
  <w:style w:type="character" w:customStyle="1" w:styleId="KommentartekstTegn">
    <w:name w:val="Kommentartekst Tegn"/>
    <w:basedOn w:val="Standardskrifttypeiafsnit"/>
    <w:link w:val="Kommentartekst"/>
    <w:uiPriority w:val="99"/>
    <w:rsid w:val="003900DF"/>
    <w:rPr>
      <w:rFonts w:ascii="Calibri" w:eastAsia="Calibri" w:hAnsi="Calibri" w:cs="Times New Roman"/>
      <w:sz w:val="20"/>
      <w:szCs w:val="20"/>
    </w:rPr>
  </w:style>
  <w:style w:type="paragraph" w:styleId="Opstilling-punkttegn">
    <w:name w:val="List Bullet"/>
    <w:basedOn w:val="Normal"/>
    <w:uiPriority w:val="99"/>
    <w:semiHidden/>
    <w:unhideWhenUsed/>
    <w:rsid w:val="003900DF"/>
    <w:pPr>
      <w:numPr>
        <w:numId w:val="1"/>
      </w:numPr>
      <w:contextualSpacing/>
    </w:pPr>
  </w:style>
  <w:style w:type="paragraph" w:styleId="Markeringsbobletekst">
    <w:name w:val="Balloon Text"/>
    <w:basedOn w:val="Normal"/>
    <w:link w:val="MarkeringsbobletekstTegn"/>
    <w:uiPriority w:val="99"/>
    <w:semiHidden/>
    <w:unhideWhenUsed/>
    <w:rsid w:val="003900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00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DF"/>
    <w:rPr>
      <w:rFonts w:ascii="Calibri" w:eastAsia="Calibri" w:hAnsi="Calibri" w:cs="Times New Roman"/>
    </w:rPr>
  </w:style>
  <w:style w:type="paragraph" w:styleId="Overskrift1">
    <w:name w:val="heading 1"/>
    <w:basedOn w:val="Normal"/>
    <w:next w:val="Normal"/>
    <w:link w:val="Overskrift1Tegn"/>
    <w:uiPriority w:val="99"/>
    <w:qFormat/>
    <w:rsid w:val="003900DF"/>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3900DF"/>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3900DF"/>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9"/>
    <w:rsid w:val="003900DF"/>
    <w:rPr>
      <w:rFonts w:ascii="Cambria" w:eastAsia="Times New Roman" w:hAnsi="Cambria" w:cs="Times New Roman"/>
      <w:b/>
      <w:bCs/>
      <w:color w:val="4F81BD"/>
      <w:sz w:val="26"/>
      <w:szCs w:val="26"/>
    </w:rPr>
  </w:style>
  <w:style w:type="table" w:styleId="Tabel-Gitter">
    <w:name w:val="Table Grid"/>
    <w:basedOn w:val="Tabel-Normal"/>
    <w:uiPriority w:val="99"/>
    <w:rsid w:val="003900DF"/>
    <w:pPr>
      <w:spacing w:after="0" w:line="240" w:lineRule="auto"/>
    </w:pPr>
    <w:rPr>
      <w:rFonts w:ascii="Calibri" w:eastAsia="Calibri" w:hAnsi="Calibri"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uiPriority w:val="99"/>
    <w:rsid w:val="003900DF"/>
    <w:pPr>
      <w:widowControl w:val="0"/>
      <w:numPr>
        <w:numId w:val="0"/>
      </w:numPr>
      <w:spacing w:after="0" w:line="240" w:lineRule="auto"/>
    </w:pPr>
    <w:rPr>
      <w:rFonts w:eastAsia="Times New Roman"/>
      <w:sz w:val="18"/>
      <w:lang w:eastAsia="da-DK"/>
    </w:rPr>
  </w:style>
  <w:style w:type="character" w:customStyle="1" w:styleId="Tabel-opstilling-punkttegnTegn">
    <w:name w:val="Tabel - opstilling - punkttegn Tegn"/>
    <w:basedOn w:val="Standardskrifttypeiafsnit"/>
    <w:link w:val="Tabel-opstilling-punkttegn"/>
    <w:uiPriority w:val="99"/>
    <w:locked/>
    <w:rsid w:val="003900DF"/>
    <w:rPr>
      <w:rFonts w:ascii="Calibri" w:eastAsia="Times New Roman" w:hAnsi="Calibri" w:cs="Times New Roman"/>
      <w:sz w:val="18"/>
      <w:lang w:eastAsia="da-DK"/>
    </w:rPr>
  </w:style>
  <w:style w:type="paragraph" w:styleId="Titel">
    <w:name w:val="Title"/>
    <w:basedOn w:val="Normal"/>
    <w:next w:val="Normal"/>
    <w:link w:val="TitelTegn"/>
    <w:uiPriority w:val="99"/>
    <w:qFormat/>
    <w:rsid w:val="003900D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basedOn w:val="Standardskrifttypeiafsnit"/>
    <w:link w:val="Titel"/>
    <w:uiPriority w:val="99"/>
    <w:rsid w:val="003900DF"/>
    <w:rPr>
      <w:rFonts w:ascii="Cambria" w:eastAsia="Times New Roman" w:hAnsi="Cambria" w:cs="Times New Roman"/>
      <w:color w:val="17365D"/>
      <w:spacing w:val="5"/>
      <w:kern w:val="28"/>
      <w:sz w:val="52"/>
      <w:szCs w:val="52"/>
    </w:rPr>
  </w:style>
  <w:style w:type="paragraph" w:styleId="Listeafsnit">
    <w:name w:val="List Paragraph"/>
    <w:basedOn w:val="Normal"/>
    <w:uiPriority w:val="99"/>
    <w:qFormat/>
    <w:rsid w:val="003900DF"/>
    <w:pPr>
      <w:ind w:left="720"/>
      <w:contextualSpacing/>
    </w:pPr>
  </w:style>
  <w:style w:type="character" w:styleId="Hyperlink">
    <w:name w:val="Hyperlink"/>
    <w:basedOn w:val="Standardskrifttypeiafsnit"/>
    <w:uiPriority w:val="99"/>
    <w:rsid w:val="003900DF"/>
    <w:rPr>
      <w:rFonts w:cs="Times New Roman"/>
      <w:color w:val="0000FF"/>
      <w:u w:val="single"/>
    </w:rPr>
  </w:style>
  <w:style w:type="paragraph" w:customStyle="1" w:styleId="NormalEfter6pkt">
    <w:name w:val="Normal + Efter:  6 pkt."/>
    <w:basedOn w:val="Normal"/>
    <w:uiPriority w:val="99"/>
    <w:rsid w:val="003900DF"/>
    <w:pPr>
      <w:spacing w:after="120"/>
    </w:pPr>
  </w:style>
  <w:style w:type="paragraph" w:styleId="Kommentartekst">
    <w:name w:val="annotation text"/>
    <w:basedOn w:val="Normal"/>
    <w:link w:val="KommentartekstTegn"/>
    <w:uiPriority w:val="99"/>
    <w:unhideWhenUsed/>
    <w:rsid w:val="003900DF"/>
    <w:pPr>
      <w:spacing w:line="240" w:lineRule="auto"/>
    </w:pPr>
    <w:rPr>
      <w:sz w:val="20"/>
      <w:szCs w:val="20"/>
    </w:rPr>
  </w:style>
  <w:style w:type="character" w:customStyle="1" w:styleId="KommentartekstTegn">
    <w:name w:val="Kommentartekst Tegn"/>
    <w:basedOn w:val="Standardskrifttypeiafsnit"/>
    <w:link w:val="Kommentartekst"/>
    <w:uiPriority w:val="99"/>
    <w:rsid w:val="003900DF"/>
    <w:rPr>
      <w:rFonts w:ascii="Calibri" w:eastAsia="Calibri" w:hAnsi="Calibri" w:cs="Times New Roman"/>
      <w:sz w:val="20"/>
      <w:szCs w:val="20"/>
    </w:rPr>
  </w:style>
  <w:style w:type="paragraph" w:styleId="Opstilling-punkttegn">
    <w:name w:val="List Bullet"/>
    <w:basedOn w:val="Normal"/>
    <w:uiPriority w:val="99"/>
    <w:semiHidden/>
    <w:unhideWhenUsed/>
    <w:rsid w:val="003900DF"/>
    <w:pPr>
      <w:numPr>
        <w:numId w:val="1"/>
      </w:numPr>
      <w:contextualSpacing/>
    </w:pPr>
  </w:style>
  <w:style w:type="paragraph" w:styleId="Markeringsbobletekst">
    <w:name w:val="Balloon Text"/>
    <w:basedOn w:val="Normal"/>
    <w:link w:val="MarkeringsbobletekstTegn"/>
    <w:uiPriority w:val="99"/>
    <w:semiHidden/>
    <w:unhideWhenUsed/>
    <w:rsid w:val="003900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00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pload.wikimedia.org/wikipedia/commons/e/e1/EC06-1957-58_European_Community_map.svg" TargetMode="External"/><Relationship Id="rId18" Type="http://schemas.openxmlformats.org/officeDocument/2006/relationships/image" Target="https://upload.wikimedia.org/wikipedia/commons/thumb/a/a5/EC12-1986_European_Community_map.svg/680px-EC12-1986_European_Community_map.svg.png" TargetMode="External"/><Relationship Id="rId3" Type="http://schemas.microsoft.com/office/2007/relationships/stylesWithEffects" Target="stylesWithEffects.xml"/><Relationship Id="rId21" Type="http://schemas.openxmlformats.org/officeDocument/2006/relationships/hyperlink" Target="https://upload.wikimedia.org/wikipedia/commons/f/f3/EU28-2013_European_Union_map.svg" TargetMode="External"/><Relationship Id="rId7" Type="http://schemas.openxmlformats.org/officeDocument/2006/relationships/hyperlink" Target="http://www.eu.dk/" TargetMode="External"/><Relationship Id="rId12" Type="http://schemas.openxmlformats.org/officeDocument/2006/relationships/image" Target="https://upload.wikimedia.org/wikipedia/commons/thumb/e/e1/EC06-1957-58_European_Community_map.svg/680px-EC06-1957-58_European_Community_map.svg.pn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upload.wikimedia.org/wikipedia/commons/d/dd/EC09-1973_European_Community_map_enlargement.svg" TargetMode="External"/><Relationship Id="rId20" Type="http://schemas.openxmlformats.org/officeDocument/2006/relationships/image" Target="https://upload.wikimedia.org/wikipedia/commons/thumb/f/f3/EU28-2013_European_Union_map.svg/680px-EU28-2013_European_Union_map.svg.png" TargetMode="External"/><Relationship Id="rId1" Type="http://schemas.openxmlformats.org/officeDocument/2006/relationships/numbering" Target="numbering.xml"/><Relationship Id="rId6" Type="http://schemas.openxmlformats.org/officeDocument/2006/relationships/hyperlink" Target="https://commons.wikimedia.org/wiki/File:EC-EU-enlargement_animation.gif"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s://upload.wikimedia.org/wikipedia/commons/thumb/d/dd/EC09-1973_European_Community_map_enlargement.svg/680px-EC09-1973_European_Community_map_enlargement.svg.png" TargetMode="External"/><Relationship Id="rId23" Type="http://schemas.openxmlformats.org/officeDocument/2006/relationships/theme" Target="theme/theme1.xml"/><Relationship Id="rId10" Type="http://schemas.openxmlformats.org/officeDocument/2006/relationships/hyperlink" Target="https://upload.wikimedia.org/wikipedia/commons/4/41/European_Union_main_map.svg" TargetMode="External"/><Relationship Id="rId19" Type="http://schemas.openxmlformats.org/officeDocument/2006/relationships/hyperlink" Target="https://upload.wikimedia.org/wikipedia/commons/a/a5/EC12-1986_European_Community_map.svg" TargetMode="External"/><Relationship Id="rId4" Type="http://schemas.openxmlformats.org/officeDocument/2006/relationships/settings" Target="settings.xml"/><Relationship Id="rId9" Type="http://schemas.openxmlformats.org/officeDocument/2006/relationships/image" Target="https://upload.wikimedia.org/wikipedia/commons/thumb/4/41/European_Union_main_map.svg/680px-European_Union_main_map.svg.png"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2017-05-29T12:48:00Z</dcterms:created>
  <dcterms:modified xsi:type="dcterms:W3CDTF">2017-05-29T12:48:00Z</dcterms:modified>
</cp:coreProperties>
</file>