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044" w:rsidRDefault="00116044" w:rsidP="00A708E7">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p>
    <w:p w:rsidR="00116044" w:rsidRPr="00116044" w:rsidRDefault="00A708E7" w:rsidP="00A708E7">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r w:rsidRPr="00116044">
        <w:rPr>
          <w:rFonts w:asciiTheme="majorHAnsi" w:eastAsiaTheme="majorEastAsia" w:hAnsiTheme="majorHAnsi" w:cstheme="majorBidi"/>
          <w:spacing w:val="5"/>
          <w:kern w:val="28"/>
          <w:sz w:val="52"/>
          <w:szCs w:val="52"/>
        </w:rPr>
        <w:t>Lektionsplan: Hverdagen i Danmark under 1. verdenskrig</w:t>
      </w:r>
    </w:p>
    <w:p w:rsidR="00A708E7" w:rsidRDefault="00A708E7" w:rsidP="00A708E7">
      <w:pPr>
        <w:spacing w:after="0"/>
      </w:pPr>
    </w:p>
    <w:p w:rsidR="00116044" w:rsidRPr="00A708E7" w:rsidRDefault="00116044" w:rsidP="00A708E7">
      <w:pPr>
        <w:spacing w:after="0"/>
      </w:pPr>
    </w:p>
    <w:tbl>
      <w:tblPr>
        <w:tblStyle w:val="Tabel-Gitter"/>
        <w:tblW w:w="15452" w:type="dxa"/>
        <w:tblInd w:w="-743" w:type="dxa"/>
        <w:tblLook w:val="04A0" w:firstRow="1" w:lastRow="0" w:firstColumn="1" w:lastColumn="0" w:noHBand="0" w:noVBand="1"/>
      </w:tblPr>
      <w:tblGrid>
        <w:gridCol w:w="993"/>
        <w:gridCol w:w="2693"/>
        <w:gridCol w:w="2694"/>
        <w:gridCol w:w="2551"/>
        <w:gridCol w:w="3466"/>
        <w:gridCol w:w="3055"/>
      </w:tblGrid>
      <w:tr w:rsidR="00A708E7" w:rsidRPr="00A708E7" w:rsidTr="00516AB9">
        <w:tc>
          <w:tcPr>
            <w:tcW w:w="15452" w:type="dxa"/>
            <w:gridSpan w:val="6"/>
          </w:tcPr>
          <w:p w:rsidR="00A708E7" w:rsidRPr="00A708E7" w:rsidRDefault="00A708E7" w:rsidP="00A708E7">
            <w:pPr>
              <w:jc w:val="center"/>
              <w:rPr>
                <w:b/>
                <w:sz w:val="32"/>
                <w:szCs w:val="32"/>
              </w:rPr>
            </w:pPr>
            <w:r w:rsidRPr="00A708E7">
              <w:rPr>
                <w:b/>
                <w:bCs/>
                <w:sz w:val="32"/>
                <w:szCs w:val="32"/>
              </w:rPr>
              <w:t>Lektionsplan</w:t>
            </w:r>
          </w:p>
        </w:tc>
      </w:tr>
      <w:tr w:rsidR="00A708E7" w:rsidRPr="00A708E7" w:rsidTr="00516AB9">
        <w:tc>
          <w:tcPr>
            <w:tcW w:w="993" w:type="dxa"/>
          </w:tcPr>
          <w:p w:rsidR="00A708E7" w:rsidRPr="00A708E7" w:rsidRDefault="00A708E7" w:rsidP="00A708E7">
            <w:pPr>
              <w:rPr>
                <w:sz w:val="16"/>
                <w:szCs w:val="16"/>
              </w:rPr>
            </w:pPr>
            <w:r w:rsidRPr="00A708E7">
              <w:rPr>
                <w:b/>
                <w:bCs/>
              </w:rPr>
              <w:t>Modul</w:t>
            </w:r>
          </w:p>
        </w:tc>
        <w:tc>
          <w:tcPr>
            <w:tcW w:w="2693" w:type="dxa"/>
          </w:tcPr>
          <w:p w:rsidR="00A708E7" w:rsidRPr="00A708E7" w:rsidRDefault="00A708E7" w:rsidP="00A708E7">
            <w:pPr>
              <w:rPr>
                <w:b/>
              </w:rPr>
            </w:pPr>
            <w:r w:rsidRPr="00A708E7">
              <w:rPr>
                <w:b/>
                <w:bCs/>
              </w:rPr>
              <w:t>Indholdsmæssigt fokus</w:t>
            </w:r>
          </w:p>
        </w:tc>
        <w:tc>
          <w:tcPr>
            <w:tcW w:w="2694" w:type="dxa"/>
          </w:tcPr>
          <w:p w:rsidR="00A708E7" w:rsidRPr="00A708E7" w:rsidRDefault="00A708E7" w:rsidP="00A708E7">
            <w:r w:rsidRPr="00A708E7">
              <w:rPr>
                <w:b/>
                <w:bCs/>
                <w:sz w:val="24"/>
                <w:szCs w:val="24"/>
              </w:rPr>
              <w:t>Færdighedsmål</w:t>
            </w:r>
          </w:p>
        </w:tc>
        <w:tc>
          <w:tcPr>
            <w:tcW w:w="2551" w:type="dxa"/>
          </w:tcPr>
          <w:p w:rsidR="00A708E7" w:rsidRPr="00A708E7" w:rsidRDefault="00A708E7" w:rsidP="00A708E7">
            <w:r w:rsidRPr="00A708E7">
              <w:rPr>
                <w:b/>
                <w:bCs/>
                <w:sz w:val="24"/>
                <w:szCs w:val="24"/>
              </w:rPr>
              <w:t>Læringsmål</w:t>
            </w:r>
          </w:p>
        </w:tc>
        <w:tc>
          <w:tcPr>
            <w:tcW w:w="3466" w:type="dxa"/>
          </w:tcPr>
          <w:p w:rsidR="00A708E7" w:rsidRPr="00A708E7" w:rsidRDefault="00A708E7" w:rsidP="00A708E7">
            <w:r w:rsidRPr="00A708E7">
              <w:rPr>
                <w:b/>
                <w:bCs/>
                <w:sz w:val="24"/>
                <w:szCs w:val="24"/>
              </w:rPr>
              <w:t>Undervisningsaktivitet</w:t>
            </w:r>
          </w:p>
        </w:tc>
        <w:tc>
          <w:tcPr>
            <w:tcW w:w="3055" w:type="dxa"/>
          </w:tcPr>
          <w:p w:rsidR="00A708E7" w:rsidRPr="00A708E7" w:rsidRDefault="00A708E7" w:rsidP="00A708E7">
            <w:pPr>
              <w:rPr>
                <w:b/>
                <w:sz w:val="24"/>
                <w:szCs w:val="24"/>
              </w:rPr>
            </w:pPr>
            <w:r w:rsidRPr="00A708E7">
              <w:rPr>
                <w:b/>
                <w:bCs/>
                <w:sz w:val="24"/>
                <w:szCs w:val="24"/>
              </w:rPr>
              <w:t>Tegn på læring</w:t>
            </w:r>
          </w:p>
          <w:p w:rsidR="00A708E7" w:rsidRPr="00A708E7" w:rsidRDefault="00A708E7" w:rsidP="00A708E7"/>
        </w:tc>
      </w:tr>
      <w:tr w:rsidR="00A708E7" w:rsidRPr="00A708E7" w:rsidTr="00516AB9">
        <w:tc>
          <w:tcPr>
            <w:tcW w:w="993" w:type="dxa"/>
          </w:tcPr>
          <w:p w:rsidR="00A708E7" w:rsidRPr="00A708E7" w:rsidRDefault="00A708E7" w:rsidP="00A708E7">
            <w:r w:rsidRPr="00A708E7">
              <w:t>1</w:t>
            </w:r>
          </w:p>
          <w:p w:rsidR="00A708E7" w:rsidRPr="00A708E7" w:rsidRDefault="00A708E7" w:rsidP="00A708E7">
            <w:pPr>
              <w:rPr>
                <w:sz w:val="20"/>
              </w:rPr>
            </w:pPr>
            <w:r w:rsidRPr="00A708E7">
              <w:t>45 min.</w:t>
            </w:r>
          </w:p>
        </w:tc>
        <w:tc>
          <w:tcPr>
            <w:tcW w:w="2693" w:type="dxa"/>
          </w:tcPr>
          <w:p w:rsidR="00A708E7" w:rsidRPr="00A708E7" w:rsidRDefault="00A708E7" w:rsidP="00A708E7">
            <w:r w:rsidRPr="00A708E7">
              <w:t>Hverdagen under 1. verdenskrig.</w:t>
            </w:r>
          </w:p>
          <w:p w:rsidR="00A708E7" w:rsidRPr="00A708E7" w:rsidRDefault="00A708E7" w:rsidP="00A708E7">
            <w:r w:rsidRPr="00A708E7">
              <w:t>Hverdagens gang</w:t>
            </w:r>
          </w:p>
          <w:p w:rsidR="00A708E7" w:rsidRPr="00A708E7" w:rsidRDefault="00A708E7" w:rsidP="00A708E7">
            <w:r w:rsidRPr="00A708E7">
              <w:t>Aktivering af forforståelse: film fra filmcentralen "Mennesker i København"</w:t>
            </w:r>
          </w:p>
          <w:p w:rsidR="00A708E7" w:rsidRPr="00A708E7" w:rsidRDefault="00A708E7" w:rsidP="00A708E7">
            <w:pPr>
              <w:rPr>
                <w:sz w:val="20"/>
              </w:rPr>
            </w:pPr>
          </w:p>
        </w:tc>
        <w:tc>
          <w:tcPr>
            <w:tcW w:w="2694" w:type="dxa"/>
          </w:tcPr>
          <w:p w:rsidR="00A708E7" w:rsidRPr="00A708E7" w:rsidRDefault="00A708E7" w:rsidP="00A708E7">
            <w:pPr>
              <w:rPr>
                <w:sz w:val="20"/>
              </w:rPr>
            </w:pPr>
            <w:r w:rsidRPr="00A708E7">
              <w:t>Eleven kan forklare historiske forandringers påvirkning af samfund lokalt, regionalt og globalt</w:t>
            </w:r>
          </w:p>
        </w:tc>
        <w:tc>
          <w:tcPr>
            <w:tcW w:w="2551" w:type="dxa"/>
          </w:tcPr>
          <w:p w:rsidR="00A708E7" w:rsidRPr="00A708E7" w:rsidRDefault="00A708E7" w:rsidP="00A708E7">
            <w:r w:rsidRPr="00A708E7">
              <w:t>Eleven kan</w:t>
            </w:r>
          </w:p>
          <w:p w:rsidR="00A708E7" w:rsidRPr="00A708E7" w:rsidRDefault="00A708E7" w:rsidP="00A708E7">
            <w:pPr>
              <w:numPr>
                <w:ilvl w:val="0"/>
                <w:numId w:val="5"/>
              </w:numPr>
              <w:contextualSpacing/>
              <w:rPr>
                <w:rFonts w:asciiTheme="minorEastAsia" w:eastAsiaTheme="minorEastAsia" w:hAnsiTheme="minorEastAsia" w:cstheme="minorEastAsia"/>
              </w:rPr>
            </w:pPr>
            <w:r w:rsidRPr="00A708E7">
              <w:t>Forklare hvordan hverdagen blev anderledes for danske familier under 1.verdenskrig</w:t>
            </w:r>
          </w:p>
        </w:tc>
        <w:tc>
          <w:tcPr>
            <w:tcW w:w="3466" w:type="dxa"/>
          </w:tcPr>
          <w:p w:rsidR="00A708E7" w:rsidRPr="00A708E7" w:rsidRDefault="00A708E7" w:rsidP="00A708E7">
            <w:pPr>
              <w:numPr>
                <w:ilvl w:val="0"/>
                <w:numId w:val="6"/>
              </w:numPr>
              <w:contextualSpacing/>
              <w:rPr>
                <w:sz w:val="20"/>
                <w:szCs w:val="20"/>
              </w:rPr>
            </w:pPr>
            <w:r w:rsidRPr="00A708E7">
              <w:t>Se filmen "Mennesker i København". Fortæl eleverne, hvad de skal have fokus på inden filmen vises. Det kan for eksempel være: Hvad fortælles der om hverdagen i hjemmet, eller hvad fortælles der om varemangel?</w:t>
            </w:r>
          </w:p>
          <w:p w:rsidR="00A708E7" w:rsidRPr="00A708E7" w:rsidRDefault="00A708E7" w:rsidP="00A708E7">
            <w:pPr>
              <w:numPr>
                <w:ilvl w:val="0"/>
                <w:numId w:val="6"/>
              </w:numPr>
              <w:contextualSpacing/>
              <w:rPr>
                <w:sz w:val="20"/>
                <w:szCs w:val="20"/>
              </w:rPr>
            </w:pPr>
            <w:r w:rsidRPr="00A708E7">
              <w:t>Se klip af "100 års Barndom 1910-1920. Se øvrige gode råd og kommentarer</w:t>
            </w:r>
          </w:p>
        </w:tc>
        <w:tc>
          <w:tcPr>
            <w:tcW w:w="3055" w:type="dxa"/>
          </w:tcPr>
          <w:p w:rsidR="00A708E7" w:rsidRPr="00A708E7" w:rsidRDefault="00A708E7" w:rsidP="00A708E7">
            <w:pPr>
              <w:widowControl w:val="0"/>
              <w:contextualSpacing/>
              <w:rPr>
                <w:rFonts w:eastAsiaTheme="minorEastAsia"/>
                <w:sz w:val="18"/>
                <w:lang w:eastAsia="da-DK"/>
              </w:rPr>
            </w:pPr>
          </w:p>
        </w:tc>
      </w:tr>
      <w:tr w:rsidR="00A708E7" w:rsidRPr="00A708E7" w:rsidTr="00516AB9">
        <w:tc>
          <w:tcPr>
            <w:tcW w:w="993" w:type="dxa"/>
          </w:tcPr>
          <w:p w:rsidR="00A708E7" w:rsidRPr="00A708E7" w:rsidRDefault="00A708E7" w:rsidP="00A708E7">
            <w:r w:rsidRPr="00A708E7">
              <w:t>2</w:t>
            </w:r>
          </w:p>
          <w:p w:rsidR="00A708E7" w:rsidRPr="00A708E7" w:rsidRDefault="00A708E7" w:rsidP="00A708E7">
            <w:pPr>
              <w:rPr>
                <w:sz w:val="20"/>
              </w:rPr>
            </w:pPr>
            <w:r w:rsidRPr="00A708E7">
              <w:t>45 min</w:t>
            </w:r>
          </w:p>
        </w:tc>
        <w:tc>
          <w:tcPr>
            <w:tcW w:w="2693" w:type="dxa"/>
          </w:tcPr>
          <w:p w:rsidR="00A708E7" w:rsidRPr="00A708E7" w:rsidRDefault="00A708E7" w:rsidP="00A708E7">
            <w:r w:rsidRPr="00A708E7">
              <w:t>Hverdagen under 1.verdenskrig fortsat fra 1. modul</w:t>
            </w:r>
          </w:p>
          <w:p w:rsidR="00A708E7" w:rsidRPr="00A708E7" w:rsidRDefault="00A708E7" w:rsidP="00A708E7">
            <w:r w:rsidRPr="00A708E7">
              <w:t xml:space="preserve">"Mennesker i København" </w:t>
            </w:r>
          </w:p>
          <w:p w:rsidR="00A708E7" w:rsidRPr="00A708E7" w:rsidRDefault="00A708E7" w:rsidP="00A708E7">
            <w:pPr>
              <w:rPr>
                <w:sz w:val="20"/>
              </w:rPr>
            </w:pPr>
          </w:p>
        </w:tc>
        <w:tc>
          <w:tcPr>
            <w:tcW w:w="2694" w:type="dxa"/>
          </w:tcPr>
          <w:p w:rsidR="00A708E7" w:rsidRPr="00A708E7" w:rsidRDefault="00A708E7" w:rsidP="00A708E7">
            <w:r w:rsidRPr="00A708E7">
              <w:t>Eleven kan forklare historiske forandringers påvirkning af samfund, lokalt, regionalt og globalt</w:t>
            </w:r>
          </w:p>
          <w:p w:rsidR="00A708E7" w:rsidRPr="00A708E7" w:rsidRDefault="00A708E7" w:rsidP="00A708E7"/>
          <w:p w:rsidR="00A708E7" w:rsidRPr="00A708E7" w:rsidRDefault="00A708E7" w:rsidP="00A708E7">
            <w:pPr>
              <w:rPr>
                <w:sz w:val="20"/>
              </w:rPr>
            </w:pPr>
            <w:r w:rsidRPr="00A708E7">
              <w:t>Eleven kan målrettet læse historiske kilder og sprogligt nuanceret udtrykke sig mundtligt og skriftligt om historiske problemstillinger</w:t>
            </w:r>
          </w:p>
        </w:tc>
        <w:tc>
          <w:tcPr>
            <w:tcW w:w="2551" w:type="dxa"/>
          </w:tcPr>
          <w:p w:rsidR="00A708E7" w:rsidRPr="00A708E7" w:rsidRDefault="00A708E7" w:rsidP="00A708E7">
            <w:r w:rsidRPr="00A708E7">
              <w:t>Eleven kan</w:t>
            </w:r>
          </w:p>
          <w:p w:rsidR="00A708E7" w:rsidRPr="00A708E7" w:rsidRDefault="00A708E7" w:rsidP="00A708E7">
            <w:pPr>
              <w:numPr>
                <w:ilvl w:val="0"/>
                <w:numId w:val="4"/>
              </w:numPr>
              <w:contextualSpacing/>
              <w:rPr>
                <w:rFonts w:asciiTheme="minorEastAsia" w:eastAsiaTheme="minorEastAsia" w:hAnsiTheme="minorEastAsia" w:cstheme="minorEastAsia"/>
              </w:rPr>
            </w:pPr>
            <w:r w:rsidRPr="00A708E7">
              <w:t>Forklare hvordan hverdagen blev anderledes for den danske familie under 1.verdenskrig</w:t>
            </w:r>
          </w:p>
          <w:p w:rsidR="00A708E7" w:rsidRPr="00A708E7" w:rsidRDefault="00A708E7" w:rsidP="00A708E7">
            <w:pPr>
              <w:numPr>
                <w:ilvl w:val="0"/>
                <w:numId w:val="4"/>
              </w:numPr>
              <w:contextualSpacing/>
              <w:rPr>
                <w:rFonts w:asciiTheme="minorEastAsia" w:eastAsiaTheme="minorEastAsia" w:hAnsiTheme="minorEastAsia" w:cstheme="minorEastAsia"/>
              </w:rPr>
            </w:pPr>
            <w:r w:rsidRPr="00A708E7">
              <w:t>Fortælle og skrive om det centrale indhold i filmklippene om 1. verdenskrigene</w:t>
            </w:r>
          </w:p>
        </w:tc>
        <w:tc>
          <w:tcPr>
            <w:tcW w:w="3466" w:type="dxa"/>
          </w:tcPr>
          <w:p w:rsidR="00A708E7" w:rsidRPr="00A708E7" w:rsidRDefault="00A708E7" w:rsidP="00A708E7">
            <w:pPr>
              <w:numPr>
                <w:ilvl w:val="0"/>
                <w:numId w:val="10"/>
              </w:numPr>
              <w:contextualSpacing/>
              <w:rPr>
                <w:sz w:val="20"/>
                <w:szCs w:val="20"/>
              </w:rPr>
            </w:pPr>
            <w:r w:rsidRPr="00A708E7">
              <w:t>Gruppearbejde, hvor eleverne laver brainstorm over temaet. Grupperne bytter brainstorm og markerer med en anden farve den viden, som gruppen, de bytter med, har tilføjet, og som de ikke selv har i deres brainstorm</w:t>
            </w:r>
          </w:p>
          <w:p w:rsidR="00A708E7" w:rsidRPr="00A708E7" w:rsidRDefault="00A708E7" w:rsidP="00A708E7">
            <w:pPr>
              <w:numPr>
                <w:ilvl w:val="0"/>
                <w:numId w:val="10"/>
              </w:numPr>
              <w:contextualSpacing/>
              <w:rPr>
                <w:sz w:val="20"/>
                <w:szCs w:val="20"/>
              </w:rPr>
            </w:pPr>
            <w:r w:rsidRPr="00A708E7">
              <w:t>På klassen skrives der stikord til, hvad de er nået frem til. Deres brainstorm hænges op i klassen. Stikordene hænges også op i klassen</w:t>
            </w:r>
          </w:p>
        </w:tc>
        <w:tc>
          <w:tcPr>
            <w:tcW w:w="3055" w:type="dxa"/>
          </w:tcPr>
          <w:p w:rsidR="00A708E7" w:rsidRPr="00A708E7" w:rsidRDefault="00A708E7" w:rsidP="00A708E7">
            <w:pPr>
              <w:rPr>
                <w:sz w:val="20"/>
              </w:rPr>
            </w:pPr>
          </w:p>
        </w:tc>
      </w:tr>
      <w:tr w:rsidR="00A708E7" w:rsidRPr="00A708E7" w:rsidTr="00516AB9">
        <w:tc>
          <w:tcPr>
            <w:tcW w:w="993" w:type="dxa"/>
          </w:tcPr>
          <w:p w:rsidR="00A708E7" w:rsidRPr="00A708E7" w:rsidRDefault="00A708E7" w:rsidP="00A708E7">
            <w:r w:rsidRPr="00A708E7">
              <w:lastRenderedPageBreak/>
              <w:t>3</w:t>
            </w:r>
          </w:p>
          <w:p w:rsidR="00A708E7" w:rsidRPr="00A708E7" w:rsidRDefault="00A708E7" w:rsidP="00A708E7">
            <w:pPr>
              <w:rPr>
                <w:sz w:val="20"/>
              </w:rPr>
            </w:pPr>
            <w:r w:rsidRPr="00A708E7">
              <w:t>45 min.</w:t>
            </w:r>
          </w:p>
        </w:tc>
        <w:tc>
          <w:tcPr>
            <w:tcW w:w="2693" w:type="dxa"/>
          </w:tcPr>
          <w:p w:rsidR="00A708E7" w:rsidRPr="00A708E7" w:rsidRDefault="00A708E7" w:rsidP="00A708E7">
            <w:pPr>
              <w:rPr>
                <w:sz w:val="20"/>
              </w:rPr>
            </w:pPr>
            <w:r w:rsidRPr="00A708E7">
              <w:t>Kildearbejde: Konsekvenser og følger hos den almindelige dansker</w:t>
            </w:r>
          </w:p>
        </w:tc>
        <w:tc>
          <w:tcPr>
            <w:tcW w:w="2694" w:type="dxa"/>
          </w:tcPr>
          <w:p w:rsidR="00A708E7" w:rsidRPr="00A708E7" w:rsidRDefault="00A708E7" w:rsidP="00A708E7">
            <w:r w:rsidRPr="00A708E7">
              <w:t>Eleven kan målrettet læse historiske kilder og sprogligt nuanceret udtrykke sig mundtligt og skriftligt om historiske problemstillinger</w:t>
            </w:r>
          </w:p>
          <w:p w:rsidR="00A708E7" w:rsidRPr="00A708E7" w:rsidRDefault="00A708E7" w:rsidP="00A708E7">
            <w:pPr>
              <w:rPr>
                <w:sz w:val="20"/>
              </w:rPr>
            </w:pPr>
            <w:r w:rsidRPr="00A708E7">
              <w:t>Eleven kan redegøre for brug af fortiden i argumentation og handling</w:t>
            </w:r>
          </w:p>
        </w:tc>
        <w:tc>
          <w:tcPr>
            <w:tcW w:w="2551" w:type="dxa"/>
          </w:tcPr>
          <w:p w:rsidR="00A708E7" w:rsidRPr="00A708E7" w:rsidRDefault="00A708E7" w:rsidP="00A708E7">
            <w:r w:rsidRPr="00A708E7">
              <w:t>Eleven kan</w:t>
            </w:r>
          </w:p>
          <w:p w:rsidR="00A708E7" w:rsidRPr="00A708E7" w:rsidRDefault="00A708E7" w:rsidP="00A708E7">
            <w:pPr>
              <w:numPr>
                <w:ilvl w:val="0"/>
                <w:numId w:val="3"/>
              </w:numPr>
              <w:contextualSpacing/>
              <w:rPr>
                <w:rFonts w:asciiTheme="minorEastAsia" w:eastAsiaTheme="minorEastAsia" w:hAnsiTheme="minorEastAsia" w:cstheme="minorEastAsia"/>
              </w:rPr>
            </w:pPr>
            <w:r w:rsidRPr="00A708E7">
              <w:t>Fortælle om kildernes overordnede budskab</w:t>
            </w:r>
          </w:p>
          <w:p w:rsidR="00A708E7" w:rsidRPr="00A708E7" w:rsidRDefault="00A708E7" w:rsidP="00A708E7">
            <w:pPr>
              <w:numPr>
                <w:ilvl w:val="0"/>
                <w:numId w:val="3"/>
              </w:numPr>
              <w:contextualSpacing/>
              <w:rPr>
                <w:rFonts w:asciiTheme="minorEastAsia" w:eastAsiaTheme="minorEastAsia" w:hAnsiTheme="minorEastAsia" w:cstheme="minorEastAsia"/>
              </w:rPr>
            </w:pPr>
            <w:r w:rsidRPr="00A708E7">
              <w:t>Forklare nye ord og begreber, der findes i kilderne</w:t>
            </w:r>
          </w:p>
          <w:p w:rsidR="00A708E7" w:rsidRPr="00A708E7" w:rsidRDefault="00A708E7" w:rsidP="00A708E7">
            <w:pPr>
              <w:numPr>
                <w:ilvl w:val="0"/>
                <w:numId w:val="3"/>
              </w:numPr>
              <w:contextualSpacing/>
              <w:rPr>
                <w:rFonts w:asciiTheme="minorEastAsia" w:eastAsiaTheme="minorEastAsia" w:hAnsiTheme="minorEastAsia" w:cstheme="minorEastAsia"/>
              </w:rPr>
            </w:pPr>
            <w:r w:rsidRPr="00A708E7">
              <w:t>Begrunde og argumentere for deres valg i forhold til kildernes aktiviteter</w:t>
            </w:r>
          </w:p>
          <w:p w:rsidR="00A708E7" w:rsidRPr="00A708E7" w:rsidRDefault="00A708E7" w:rsidP="00A708E7">
            <w:pPr>
              <w:rPr>
                <w:sz w:val="20"/>
              </w:rPr>
            </w:pPr>
          </w:p>
        </w:tc>
        <w:tc>
          <w:tcPr>
            <w:tcW w:w="3466" w:type="dxa"/>
          </w:tcPr>
          <w:p w:rsidR="00A708E7" w:rsidRPr="00A708E7" w:rsidRDefault="00A708E7" w:rsidP="00A708E7">
            <w:pPr>
              <w:numPr>
                <w:ilvl w:val="0"/>
                <w:numId w:val="7"/>
              </w:numPr>
              <w:ind w:left="360"/>
              <w:contextualSpacing/>
              <w:rPr>
                <w:sz w:val="20"/>
                <w:szCs w:val="20"/>
              </w:rPr>
            </w:pPr>
            <w:r w:rsidRPr="00A708E7">
              <w:t xml:space="preserve">Læsning og bearbejdning af kilderne: "Klage fra en Hustru" og "Konen styrer børn og gård" fra hjemmesiden </w:t>
            </w:r>
            <w:hyperlink r:id="rId6">
              <w:r w:rsidRPr="00A708E7">
                <w:rPr>
                  <w:color w:val="0000FF" w:themeColor="hyperlink"/>
                  <w:u w:val="single"/>
                </w:rPr>
                <w:t>www.1914-1918</w:t>
              </w:r>
            </w:hyperlink>
            <w:r w:rsidRPr="00A708E7">
              <w:rPr>
                <w:color w:val="0000FF" w:themeColor="hyperlink"/>
                <w:u w:val="single"/>
              </w:rPr>
              <w:t>.dk</w:t>
            </w:r>
            <w:r w:rsidRPr="00A708E7">
              <w:t xml:space="preserve"> Før kilderne læses, laver eleverne en VØL: V: Hvad ved jeg allerede</w:t>
            </w:r>
            <w:proofErr w:type="gramStart"/>
            <w:r w:rsidRPr="00A708E7">
              <w:t>?,</w:t>
            </w:r>
            <w:proofErr w:type="gramEnd"/>
            <w:r w:rsidRPr="00A708E7">
              <w:t xml:space="preserve"> Ø: Hvad ønsker jeg at vide?, L: Hvad har jeg lært? VØL opgaven kan laves i et skema. Se bilag. Overskrifterne på kilderne skal danne udgangspunkt for VØL- opgaven, således at eleven skriver, hvad han ved om, at "Konen styrer børn og gård." Det kan for eksempel være, at det er hårdt for konen at være efterladt alene, hun må kæmpe hårdt i hverdagen. Se bilag. Mens kilderne læses, skriver eleverne de ord ned, de ikke kan genkende. Derefter skrives de på tavlen, og eleverne deler kilderne ind i afsnit, og giver afsnittene en overskrift. Eleverne skal kunne begrunde og argumentere for deres valg af overskrift.</w:t>
            </w:r>
          </w:p>
        </w:tc>
        <w:tc>
          <w:tcPr>
            <w:tcW w:w="3055" w:type="dxa"/>
          </w:tcPr>
          <w:p w:rsidR="00A708E7" w:rsidRPr="00A708E7" w:rsidRDefault="00A708E7" w:rsidP="00A708E7">
            <w:pPr>
              <w:rPr>
                <w:sz w:val="20"/>
              </w:rPr>
            </w:pPr>
          </w:p>
        </w:tc>
      </w:tr>
      <w:tr w:rsidR="00A708E7" w:rsidRPr="00A708E7" w:rsidTr="00516AB9">
        <w:tc>
          <w:tcPr>
            <w:tcW w:w="993" w:type="dxa"/>
          </w:tcPr>
          <w:p w:rsidR="00A708E7" w:rsidRPr="00A708E7" w:rsidRDefault="00A708E7" w:rsidP="00A708E7">
            <w:r w:rsidRPr="00A708E7">
              <w:t>4</w:t>
            </w:r>
          </w:p>
          <w:p w:rsidR="00A708E7" w:rsidRPr="00A708E7" w:rsidRDefault="00A708E7" w:rsidP="00A708E7">
            <w:pPr>
              <w:rPr>
                <w:sz w:val="20"/>
              </w:rPr>
            </w:pPr>
            <w:r w:rsidRPr="00A708E7">
              <w:t>45 min.</w:t>
            </w:r>
          </w:p>
        </w:tc>
        <w:tc>
          <w:tcPr>
            <w:tcW w:w="2693" w:type="dxa"/>
          </w:tcPr>
          <w:p w:rsidR="00A708E7" w:rsidRPr="00A708E7" w:rsidRDefault="00A708E7" w:rsidP="00A708E7">
            <w:pPr>
              <w:rPr>
                <w:sz w:val="20"/>
              </w:rPr>
            </w:pPr>
            <w:r w:rsidRPr="00A708E7">
              <w:t>Konsekvenser og følger i hverdagen hos den almindelige dansker</w:t>
            </w:r>
          </w:p>
        </w:tc>
        <w:tc>
          <w:tcPr>
            <w:tcW w:w="2694" w:type="dxa"/>
          </w:tcPr>
          <w:p w:rsidR="00A708E7" w:rsidRPr="00A708E7" w:rsidRDefault="00A708E7" w:rsidP="00A708E7">
            <w:r w:rsidRPr="00A708E7">
              <w:t>Eleven kan udarbejde løsningsforslag på historiske problemstillinger med afsæt i udvalgte kilder</w:t>
            </w:r>
          </w:p>
          <w:p w:rsidR="00A708E7" w:rsidRPr="00A708E7" w:rsidRDefault="00A708E7" w:rsidP="00A708E7"/>
          <w:p w:rsidR="00A708E7" w:rsidRPr="00A708E7" w:rsidRDefault="00A708E7" w:rsidP="00A708E7">
            <w:r w:rsidRPr="00A708E7">
              <w:t xml:space="preserve">Eleven kan udlede forklaringer på historiske </w:t>
            </w:r>
            <w:r w:rsidRPr="00A708E7">
              <w:lastRenderedPageBreak/>
              <w:t>forhold og forløb ud fra historiske scenarier</w:t>
            </w:r>
          </w:p>
          <w:p w:rsidR="00A708E7" w:rsidRPr="00A708E7" w:rsidRDefault="00A708E7" w:rsidP="00A708E7"/>
          <w:p w:rsidR="00A708E7" w:rsidRPr="00A708E7" w:rsidRDefault="00A708E7" w:rsidP="00A708E7">
            <w:pPr>
              <w:rPr>
                <w:sz w:val="20"/>
              </w:rPr>
            </w:pPr>
            <w:r w:rsidRPr="00A708E7">
              <w:t>Eleven kan redegøre for brug af fortiden i argumentation og handling</w:t>
            </w:r>
          </w:p>
        </w:tc>
        <w:tc>
          <w:tcPr>
            <w:tcW w:w="2551" w:type="dxa"/>
          </w:tcPr>
          <w:p w:rsidR="00A708E7" w:rsidRPr="00A708E7" w:rsidRDefault="00A708E7" w:rsidP="00A708E7">
            <w:r w:rsidRPr="00A708E7">
              <w:lastRenderedPageBreak/>
              <w:t>Eleven kan</w:t>
            </w:r>
          </w:p>
          <w:p w:rsidR="00A708E7" w:rsidRPr="00A708E7" w:rsidRDefault="00A708E7" w:rsidP="00A708E7">
            <w:pPr>
              <w:numPr>
                <w:ilvl w:val="0"/>
                <w:numId w:val="2"/>
              </w:numPr>
              <w:contextualSpacing/>
              <w:rPr>
                <w:rFonts w:asciiTheme="minorEastAsia" w:eastAsiaTheme="minorEastAsia" w:hAnsiTheme="minorEastAsia" w:cstheme="minorEastAsia"/>
              </w:rPr>
            </w:pPr>
            <w:r w:rsidRPr="00A708E7">
              <w:t>Redegøre for valget af løsninger på forskellige tidstypiske situationer</w:t>
            </w:r>
          </w:p>
          <w:p w:rsidR="00A708E7" w:rsidRPr="00A708E7" w:rsidRDefault="00A708E7" w:rsidP="00A708E7">
            <w:pPr>
              <w:numPr>
                <w:ilvl w:val="0"/>
                <w:numId w:val="2"/>
              </w:numPr>
              <w:contextualSpacing/>
              <w:rPr>
                <w:rFonts w:asciiTheme="minorEastAsia" w:eastAsiaTheme="minorEastAsia" w:hAnsiTheme="minorEastAsia" w:cstheme="minorEastAsia"/>
              </w:rPr>
            </w:pPr>
            <w:r w:rsidRPr="00A708E7">
              <w:lastRenderedPageBreak/>
              <w:t>Argumentere for de svar de giver på udfordringerne i situationerne ved at inddrage den viden de har fået først i forløbet</w:t>
            </w:r>
          </w:p>
        </w:tc>
        <w:tc>
          <w:tcPr>
            <w:tcW w:w="3466" w:type="dxa"/>
          </w:tcPr>
          <w:p w:rsidR="00A708E7" w:rsidRPr="00A708E7" w:rsidRDefault="00A708E7" w:rsidP="00A708E7">
            <w:pPr>
              <w:numPr>
                <w:ilvl w:val="0"/>
                <w:numId w:val="9"/>
              </w:numPr>
              <w:contextualSpacing/>
              <w:rPr>
                <w:sz w:val="20"/>
                <w:szCs w:val="20"/>
              </w:rPr>
            </w:pPr>
            <w:r w:rsidRPr="00A708E7">
              <w:lastRenderedPageBreak/>
              <w:t xml:space="preserve">Refleksionsøvelse: Eleverne skal forestille sig at være personer under 1. verdenskrig, som på hver deres måde er berørt af krigen. Der arbejdes med øvelsen gennem kort, der klippes ud, og eleverne, som </w:t>
            </w:r>
            <w:r w:rsidRPr="00A708E7">
              <w:lastRenderedPageBreak/>
              <w:t>arbejder sammen to og to, skiftes til at trække en situation. Svaret, de når frem til, noteres ned. Se bilag 1.</w:t>
            </w:r>
          </w:p>
          <w:p w:rsidR="00A708E7" w:rsidRPr="00A708E7" w:rsidRDefault="00A708E7" w:rsidP="00A708E7">
            <w:pPr>
              <w:numPr>
                <w:ilvl w:val="0"/>
                <w:numId w:val="9"/>
              </w:numPr>
              <w:contextualSpacing/>
              <w:rPr>
                <w:sz w:val="20"/>
                <w:szCs w:val="20"/>
              </w:rPr>
            </w:pPr>
            <w:r w:rsidRPr="00A708E7">
              <w:t xml:space="preserve">Læsning og bearbejdning af kilderne på </w:t>
            </w:r>
            <w:hyperlink r:id="rId7">
              <w:r w:rsidRPr="00A708E7">
                <w:rPr>
                  <w:color w:val="0000FF" w:themeColor="hyperlink"/>
                  <w:u w:val="single"/>
                </w:rPr>
                <w:t>http://1914-1918.dk/spisekammer</w:t>
              </w:r>
            </w:hyperlink>
            <w:r w:rsidRPr="00A708E7">
              <w:t xml:space="preserve"> </w:t>
            </w:r>
          </w:p>
        </w:tc>
        <w:tc>
          <w:tcPr>
            <w:tcW w:w="3055" w:type="dxa"/>
          </w:tcPr>
          <w:p w:rsidR="00A708E7" w:rsidRPr="00A708E7" w:rsidRDefault="00A708E7" w:rsidP="00A708E7">
            <w:pPr>
              <w:rPr>
                <w:sz w:val="20"/>
              </w:rPr>
            </w:pPr>
          </w:p>
        </w:tc>
      </w:tr>
      <w:tr w:rsidR="00A708E7" w:rsidRPr="00A708E7" w:rsidTr="00516AB9">
        <w:tc>
          <w:tcPr>
            <w:tcW w:w="993" w:type="dxa"/>
          </w:tcPr>
          <w:p w:rsidR="00A708E7" w:rsidRPr="00A708E7" w:rsidRDefault="00A708E7" w:rsidP="00A708E7">
            <w:r w:rsidRPr="00A708E7">
              <w:lastRenderedPageBreak/>
              <w:t>5 + 6 + 7</w:t>
            </w:r>
          </w:p>
          <w:p w:rsidR="00A708E7" w:rsidRPr="00A708E7" w:rsidRDefault="00A708E7" w:rsidP="00A708E7">
            <w:pPr>
              <w:rPr>
                <w:sz w:val="20"/>
              </w:rPr>
            </w:pPr>
            <w:r w:rsidRPr="00A708E7">
              <w:t>3x45 min.</w:t>
            </w:r>
          </w:p>
        </w:tc>
        <w:tc>
          <w:tcPr>
            <w:tcW w:w="2693" w:type="dxa"/>
          </w:tcPr>
          <w:p w:rsidR="00A708E7" w:rsidRPr="00A708E7" w:rsidRDefault="00A708E7" w:rsidP="00A708E7">
            <w:pPr>
              <w:rPr>
                <w:sz w:val="20"/>
              </w:rPr>
            </w:pPr>
            <w:r w:rsidRPr="00A708E7">
              <w:t>Indlevelsesopgave og afsluttende evaluering</w:t>
            </w:r>
          </w:p>
        </w:tc>
        <w:tc>
          <w:tcPr>
            <w:tcW w:w="2694" w:type="dxa"/>
          </w:tcPr>
          <w:p w:rsidR="00A708E7" w:rsidRPr="00A708E7" w:rsidRDefault="00A708E7" w:rsidP="00A708E7">
            <w:r w:rsidRPr="00A708E7">
              <w:t>Eleven kan sætte begivenheders forudsætninger, forløb og følger i kronologisk rækkefølge</w:t>
            </w:r>
          </w:p>
          <w:p w:rsidR="00A708E7" w:rsidRPr="00A708E7" w:rsidRDefault="00A708E7" w:rsidP="00A708E7"/>
          <w:p w:rsidR="00A708E7" w:rsidRPr="00A708E7" w:rsidRDefault="00A708E7" w:rsidP="00A708E7">
            <w:pPr>
              <w:rPr>
                <w:sz w:val="20"/>
              </w:rPr>
            </w:pPr>
            <w:r w:rsidRPr="00A708E7">
              <w:t>Eleven kan udlede forklaringer på historiske forhold og forløb ud fra historiske scenarier</w:t>
            </w:r>
          </w:p>
        </w:tc>
        <w:tc>
          <w:tcPr>
            <w:tcW w:w="2551" w:type="dxa"/>
          </w:tcPr>
          <w:p w:rsidR="00A708E7" w:rsidRPr="00A708E7" w:rsidRDefault="00A708E7" w:rsidP="00A708E7">
            <w:r w:rsidRPr="00A708E7">
              <w:t>Eleven kan</w:t>
            </w:r>
          </w:p>
          <w:p w:rsidR="00A708E7" w:rsidRPr="00A708E7" w:rsidRDefault="00A708E7" w:rsidP="00A708E7">
            <w:pPr>
              <w:numPr>
                <w:ilvl w:val="0"/>
                <w:numId w:val="1"/>
              </w:numPr>
              <w:contextualSpacing/>
              <w:rPr>
                <w:rFonts w:asciiTheme="minorEastAsia" w:eastAsiaTheme="minorEastAsia" w:hAnsiTheme="minorEastAsia" w:cstheme="minorEastAsia"/>
              </w:rPr>
            </w:pPr>
            <w:r w:rsidRPr="00A708E7">
              <w:t>Udfærdige et historisk rollespil, hvor de anvender deres viden (og viser et historisk scenarie)</w:t>
            </w:r>
          </w:p>
        </w:tc>
        <w:tc>
          <w:tcPr>
            <w:tcW w:w="3466" w:type="dxa"/>
          </w:tcPr>
          <w:p w:rsidR="00A708E7" w:rsidRPr="00A708E7" w:rsidRDefault="00A708E7" w:rsidP="00A708E7">
            <w:pPr>
              <w:numPr>
                <w:ilvl w:val="0"/>
                <w:numId w:val="8"/>
              </w:numPr>
              <w:ind w:left="360"/>
              <w:contextualSpacing/>
              <w:rPr>
                <w:sz w:val="20"/>
                <w:szCs w:val="20"/>
              </w:rPr>
            </w:pPr>
            <w:r w:rsidRPr="00A708E7">
              <w:t>Rollespil med personerne fra dilemmaspillet. Eleverne udfærdiger selv et manuskript til rollespillet med udgangspunkt i den viden, de har fået i forløbet.</w:t>
            </w:r>
          </w:p>
        </w:tc>
        <w:tc>
          <w:tcPr>
            <w:tcW w:w="3055" w:type="dxa"/>
          </w:tcPr>
          <w:p w:rsidR="00A708E7" w:rsidRPr="00A708E7" w:rsidRDefault="00A708E7" w:rsidP="00A708E7">
            <w:pPr>
              <w:rPr>
                <w:sz w:val="20"/>
              </w:rPr>
            </w:pPr>
          </w:p>
        </w:tc>
      </w:tr>
    </w:tbl>
    <w:p w:rsidR="0027575F" w:rsidRDefault="00116044"/>
    <w:p w:rsidR="00A708E7" w:rsidRDefault="00A708E7"/>
    <w:p w:rsidR="00A708E7" w:rsidRDefault="00A708E7"/>
    <w:p w:rsidR="00A708E7" w:rsidRDefault="00A708E7"/>
    <w:p w:rsidR="00A708E7" w:rsidRDefault="00A708E7"/>
    <w:p w:rsidR="00A708E7" w:rsidRDefault="00A708E7"/>
    <w:p w:rsidR="00A708E7" w:rsidRDefault="00A708E7"/>
    <w:p w:rsidR="00A708E7" w:rsidRDefault="00A708E7"/>
    <w:p w:rsidR="00A708E7" w:rsidRDefault="00A708E7"/>
    <w:p w:rsidR="00A708E7" w:rsidRDefault="00A708E7">
      <w:pPr>
        <w:sectPr w:rsidR="00A708E7" w:rsidSect="00A708E7">
          <w:pgSz w:w="16838" w:h="11906" w:orient="landscape"/>
          <w:pgMar w:top="1134" w:right="1701" w:bottom="1134" w:left="1701" w:header="708" w:footer="708" w:gutter="0"/>
          <w:cols w:space="708"/>
          <w:docGrid w:linePitch="360"/>
        </w:sectPr>
      </w:pPr>
    </w:p>
    <w:p w:rsidR="00A708E7" w:rsidRPr="00116044" w:rsidRDefault="00A708E7" w:rsidP="00A708E7">
      <w:pPr>
        <w:pStyle w:val="Overskrift1"/>
        <w:rPr>
          <w:color w:val="auto"/>
        </w:rPr>
      </w:pPr>
      <w:r w:rsidRPr="00116044">
        <w:rPr>
          <w:color w:val="auto"/>
        </w:rPr>
        <w:lastRenderedPageBreak/>
        <w:t>Forslag til:</w:t>
      </w:r>
    </w:p>
    <w:p w:rsidR="00A708E7" w:rsidRPr="00116044" w:rsidRDefault="00A708E7" w:rsidP="00A708E7">
      <w:pPr>
        <w:pStyle w:val="Overskrift2"/>
        <w:rPr>
          <w:color w:val="auto"/>
        </w:rPr>
      </w:pPr>
      <w:r w:rsidRPr="00116044">
        <w:rPr>
          <w:color w:val="auto"/>
        </w:rPr>
        <w:t>Undervisningsdifferentiering</w:t>
      </w:r>
    </w:p>
    <w:p w:rsidR="00A708E7" w:rsidRDefault="00A708E7" w:rsidP="00A708E7">
      <w:r w:rsidRPr="221F3FE3">
        <w:t xml:space="preserve">De mange forskellige aktiviteter ligger allerede op til meget undervisningsdifferentiering. Man kan dog godt variere læsningen med forskellige </w:t>
      </w:r>
      <w:proofErr w:type="spellStart"/>
      <w:r>
        <w:t>Cooperative</w:t>
      </w:r>
      <w:proofErr w:type="spellEnd"/>
      <w:r>
        <w:t xml:space="preserve"> Learning-</w:t>
      </w:r>
      <w:r w:rsidRPr="221F3FE3">
        <w:t>øvelser, eller med samtaleøvelser</w:t>
      </w:r>
      <w:r>
        <w:t>,</w:t>
      </w:r>
      <w:r w:rsidRPr="221F3FE3">
        <w:t xml:space="preserve"> der filmes i stedet for at skrives ned. </w:t>
      </w:r>
    </w:p>
    <w:p w:rsidR="00A708E7" w:rsidRPr="00400396" w:rsidRDefault="00A708E7" w:rsidP="00A708E7"/>
    <w:p w:rsidR="00A708E7" w:rsidRPr="00116044" w:rsidRDefault="00A708E7" w:rsidP="00A708E7">
      <w:pPr>
        <w:pStyle w:val="Overskrift2"/>
        <w:rPr>
          <w:color w:val="auto"/>
        </w:rPr>
      </w:pPr>
      <w:r w:rsidRPr="00116044">
        <w:rPr>
          <w:color w:val="auto"/>
        </w:rPr>
        <w:t>Evalueringsformer</w:t>
      </w:r>
    </w:p>
    <w:p w:rsidR="00A708E7" w:rsidRDefault="00A708E7" w:rsidP="00A708E7">
      <w:r w:rsidRPr="221F3FE3">
        <w:t xml:space="preserve">Forskellige andre evalueringsformer kan også inddrages end dem som i forvejen er nævnt eksempelvis; </w:t>
      </w:r>
    </w:p>
    <w:p w:rsidR="00A708E7" w:rsidRDefault="00A708E7" w:rsidP="00A708E7">
      <w:r w:rsidRPr="221F3FE3">
        <w:t>VØL</w:t>
      </w:r>
      <w:r>
        <w:t>:</w:t>
      </w:r>
      <w:r w:rsidRPr="221F3FE3">
        <w:t xml:space="preserve"> Som går ud på at svare under på følgende overskrifter, Hvad </w:t>
      </w:r>
      <w:r w:rsidRPr="003F509B">
        <w:rPr>
          <w:b/>
        </w:rPr>
        <w:t>V</w:t>
      </w:r>
      <w:r w:rsidRPr="221F3FE3">
        <w:t xml:space="preserve">ed jeg? Hvad </w:t>
      </w:r>
      <w:r w:rsidRPr="003F509B">
        <w:rPr>
          <w:b/>
        </w:rPr>
        <w:t>Ø</w:t>
      </w:r>
      <w:r w:rsidRPr="221F3FE3">
        <w:t xml:space="preserve">nsker jeg at vide? Hvad har jeg </w:t>
      </w:r>
      <w:r w:rsidRPr="003F509B">
        <w:rPr>
          <w:b/>
        </w:rPr>
        <w:t>L</w:t>
      </w:r>
      <w:r w:rsidRPr="221F3FE3">
        <w:t>ært? Sidste overskrift kan gemmes til sidst.</w:t>
      </w:r>
    </w:p>
    <w:p w:rsidR="00A708E7" w:rsidRDefault="00A708E7" w:rsidP="00A708E7">
      <w:r w:rsidRPr="221F3FE3">
        <w:t>Kategoriseringsaktivitet</w:t>
      </w:r>
      <w:r>
        <w:t>:</w:t>
      </w:r>
      <w:r w:rsidRPr="221F3FE3">
        <w:t xml:space="preserve"> Eleverne får, eller udformer det selv, forskellige udsagn, som placeres i forhold til en overordnet overskrift. Derefter placeres de forskellige udsagn omkring den overordnede overskrift alt efter, hvor vigtig de synes udsagnet er for overskriften.</w:t>
      </w:r>
    </w:p>
    <w:p w:rsidR="00A708E7" w:rsidRDefault="00A708E7" w:rsidP="00A708E7">
      <w:r w:rsidRPr="221F3FE3">
        <w:t>Ek</w:t>
      </w:r>
      <w:r>
        <w:t>sempel på overordnet overskrift:</w:t>
      </w:r>
      <w:r w:rsidRPr="221F3FE3">
        <w:t xml:space="preserve"> "Konen styrer gård og børn"</w:t>
      </w:r>
    </w:p>
    <w:p w:rsidR="00A708E7" w:rsidRDefault="00A708E7" w:rsidP="00A708E7">
      <w:r>
        <w:t xml:space="preserve">Eksempel på udsagn: </w:t>
      </w:r>
      <w:r>
        <w:tab/>
        <w:t>"</w:t>
      </w:r>
      <w:r w:rsidRPr="221F3FE3">
        <w:t>Gårdens drift lider under mandens fravær"</w:t>
      </w:r>
    </w:p>
    <w:p w:rsidR="00A708E7" w:rsidRDefault="00A708E7" w:rsidP="00A708E7">
      <w:r w:rsidRPr="221F3FE3">
        <w:t xml:space="preserve">                                    </w:t>
      </w:r>
      <w:r>
        <w:tab/>
      </w:r>
      <w:r w:rsidRPr="221F3FE3">
        <w:t>"Konen og børnene lider under mandens fravær"</w:t>
      </w:r>
    </w:p>
    <w:p w:rsidR="00A708E7" w:rsidRPr="00116044" w:rsidRDefault="00A708E7" w:rsidP="00A708E7">
      <w:pPr>
        <w:pStyle w:val="Overskrift1"/>
        <w:rPr>
          <w:color w:val="auto"/>
        </w:rPr>
      </w:pPr>
      <w:bookmarkStart w:id="0" w:name="_GoBack"/>
      <w:r w:rsidRPr="00116044">
        <w:rPr>
          <w:color w:val="auto"/>
        </w:rPr>
        <w:t>Øvrige gode råd og kommentarer</w:t>
      </w:r>
    </w:p>
    <w:bookmarkEnd w:id="0"/>
    <w:p w:rsidR="00A708E7" w:rsidRDefault="00A708E7" w:rsidP="00A708E7">
      <w:r>
        <w:t xml:space="preserve">Tjek gerne hjemmesiden </w:t>
      </w:r>
      <w:hyperlink r:id="rId8">
        <w:r w:rsidRPr="221F3FE3">
          <w:rPr>
            <w:rStyle w:val="Hyperlink"/>
          </w:rPr>
          <w:t>www.1914-1918.dk</w:t>
        </w:r>
      </w:hyperlink>
      <w:r>
        <w:t>, hvor man kan finde flere kilder med forskellige temaer.</w:t>
      </w:r>
    </w:p>
    <w:p w:rsidR="00A708E7" w:rsidRDefault="00A708E7" w:rsidP="00A708E7"/>
    <w:p w:rsidR="00A708E7" w:rsidRDefault="00A708E7" w:rsidP="00A708E7"/>
    <w:p w:rsidR="00A708E7" w:rsidRDefault="00A708E7" w:rsidP="00A708E7"/>
    <w:p w:rsidR="00A708E7" w:rsidRDefault="00A708E7" w:rsidP="00A708E7"/>
    <w:p w:rsidR="00A708E7" w:rsidRDefault="00A708E7" w:rsidP="00A708E7"/>
    <w:p w:rsidR="00A708E7" w:rsidRDefault="00A708E7" w:rsidP="00A708E7"/>
    <w:p w:rsidR="00A708E7" w:rsidRDefault="00A708E7" w:rsidP="00A708E7"/>
    <w:p w:rsidR="00A708E7" w:rsidRDefault="00A708E7" w:rsidP="00A708E7"/>
    <w:p w:rsidR="00A708E7" w:rsidRDefault="00A708E7" w:rsidP="00A708E7"/>
    <w:p w:rsidR="00A708E7" w:rsidRDefault="00A708E7" w:rsidP="00A708E7"/>
    <w:p w:rsidR="00A708E7" w:rsidRPr="003F509B" w:rsidRDefault="00A708E7" w:rsidP="00A708E7">
      <w:pPr>
        <w:rPr>
          <w:b/>
          <w:sz w:val="36"/>
          <w:szCs w:val="36"/>
        </w:rPr>
      </w:pPr>
      <w:r w:rsidRPr="003F509B">
        <w:rPr>
          <w:b/>
          <w:bCs/>
          <w:sz w:val="36"/>
          <w:szCs w:val="36"/>
        </w:rPr>
        <w:lastRenderedPageBreak/>
        <w:t xml:space="preserve">Bilag 1: </w:t>
      </w:r>
      <w:r w:rsidRPr="00374193">
        <w:rPr>
          <w:b/>
          <w:bCs/>
          <w:sz w:val="36"/>
          <w:szCs w:val="36"/>
        </w:rPr>
        <w:t>Refleksionsøvelse</w:t>
      </w:r>
    </w:p>
    <w:p w:rsidR="00A708E7" w:rsidRPr="00AF18DA" w:rsidRDefault="00A708E7" w:rsidP="00A708E7">
      <w:r>
        <w:t xml:space="preserve">Til dilemmaspillet kan nedenstående eksempler på dilemmaer bruges. Til hvert dilemma skriver eleverne deres bud på løsning ned. </w:t>
      </w:r>
    </w:p>
    <w:p w:rsidR="00A708E7" w:rsidRPr="003F509B" w:rsidRDefault="00A708E7" w:rsidP="00A708E7">
      <w:pPr>
        <w:spacing w:after="0"/>
        <w:rPr>
          <w:sz w:val="28"/>
          <w:szCs w:val="28"/>
        </w:rPr>
      </w:pPr>
      <w:r>
        <w:rPr>
          <w:b/>
          <w:bCs/>
          <w:sz w:val="28"/>
          <w:szCs w:val="28"/>
        </w:rPr>
        <w:t>Situationer</w:t>
      </w:r>
      <w:r w:rsidRPr="003F509B">
        <w:rPr>
          <w:b/>
          <w:bCs/>
          <w:sz w:val="28"/>
          <w:szCs w:val="28"/>
        </w:rPr>
        <w:t>:</w:t>
      </w:r>
    </w:p>
    <w:p w:rsidR="00A708E7" w:rsidRDefault="00A708E7" w:rsidP="00A708E7">
      <w:pPr>
        <w:spacing w:after="0"/>
        <w:rPr>
          <w:b/>
          <w:bCs/>
        </w:rPr>
      </w:pPr>
    </w:p>
    <w:p w:rsidR="00A708E7" w:rsidRDefault="00A708E7" w:rsidP="00A708E7">
      <w:pPr>
        <w:spacing w:after="0"/>
      </w:pPr>
      <w:r w:rsidRPr="221F3FE3">
        <w:rPr>
          <w:b/>
          <w:bCs/>
        </w:rPr>
        <w:t>En husmor</w:t>
      </w:r>
    </w:p>
    <w:p w:rsidR="00A708E7" w:rsidRDefault="00A708E7" w:rsidP="00A708E7">
      <w:pPr>
        <w:spacing w:after="0"/>
      </w:pPr>
      <w:r>
        <w:t>Din mand er indkaldt som soldat, og du er i flere måneder efterladt med jeres fire børn i alderen 2-10 år. I driver en lille forretning i en landsby uden for København. Du er ofte nødt til at tage ind til København for at hente varer hjem og efterlade jeres børn. Hvad ønsker du at ændre på?</w:t>
      </w:r>
    </w:p>
    <w:p w:rsidR="00A708E7" w:rsidRDefault="00A708E7" w:rsidP="00A708E7">
      <w:pPr>
        <w:spacing w:after="0"/>
      </w:pPr>
    </w:p>
    <w:p w:rsidR="00A708E7" w:rsidRDefault="00A708E7" w:rsidP="00A708E7">
      <w:pPr>
        <w:spacing w:after="0"/>
      </w:pPr>
      <w:r w:rsidRPr="221F3FE3">
        <w:rPr>
          <w:b/>
          <w:bCs/>
        </w:rPr>
        <w:t>Et barn</w:t>
      </w:r>
    </w:p>
    <w:p w:rsidR="00A708E7" w:rsidRDefault="00A708E7" w:rsidP="00A708E7">
      <w:pPr>
        <w:spacing w:after="0"/>
      </w:pPr>
      <w:r>
        <w:t>Din far er soldat, og din mor både arbejder og passer huset, for at I kan få mad på bordet, hvordan skal din familie klare sig? Hvem kan du gå til for at få hjælp?</w:t>
      </w:r>
    </w:p>
    <w:p w:rsidR="00A708E7" w:rsidRDefault="00A708E7" w:rsidP="00A708E7">
      <w:pPr>
        <w:spacing w:after="0"/>
        <w:rPr>
          <w:b/>
          <w:bCs/>
        </w:rPr>
      </w:pPr>
    </w:p>
    <w:p w:rsidR="00A708E7" w:rsidRDefault="00A708E7" w:rsidP="00A708E7">
      <w:pPr>
        <w:spacing w:after="0"/>
      </w:pPr>
      <w:r w:rsidRPr="221F3FE3">
        <w:rPr>
          <w:b/>
          <w:bCs/>
        </w:rPr>
        <w:t>En soldat</w:t>
      </w:r>
    </w:p>
    <w:p w:rsidR="00A708E7" w:rsidRDefault="00A708E7" w:rsidP="00A708E7">
      <w:pPr>
        <w:spacing w:after="0"/>
      </w:pPr>
      <w:r>
        <w:t>Du er langt væk hjemmefra, og du har ikke selv valgt at være soldat. Din kone er meget syg og har svært ved at tage sig af jeres fælles børn. Du ved, at din familie mangler dig i hverdagen, men du ved også, at du bliver straffet, hvis du vælger at tage hjem og hjælpe dem. Hvad gør du? Hvad tænker du om krigen? Og hvilke ændringer kunne du tænke dig at få i dit soldaterliv?</w:t>
      </w:r>
    </w:p>
    <w:p w:rsidR="00A708E7" w:rsidRDefault="00A708E7" w:rsidP="00A708E7">
      <w:pPr>
        <w:spacing w:after="0"/>
        <w:rPr>
          <w:b/>
          <w:bCs/>
        </w:rPr>
      </w:pPr>
    </w:p>
    <w:p w:rsidR="00A708E7" w:rsidRDefault="00A708E7" w:rsidP="00A708E7">
      <w:pPr>
        <w:spacing w:after="0"/>
      </w:pPr>
    </w:p>
    <w:p w:rsidR="00A708E7" w:rsidRDefault="00A708E7" w:rsidP="00A708E7">
      <w:pPr>
        <w:spacing w:after="0"/>
      </w:pPr>
      <w:r w:rsidRPr="497ED9A4">
        <w:rPr>
          <w:b/>
          <w:bCs/>
        </w:rPr>
        <w:t>En Gullaschbaron</w:t>
      </w:r>
    </w:p>
    <w:p w:rsidR="00A708E7" w:rsidRDefault="00A708E7" w:rsidP="00A708E7">
      <w:pPr>
        <w:spacing w:after="0"/>
      </w:pPr>
      <w:r>
        <w:t xml:space="preserve">Du ejer en konservesfabrik, hvor du producerer mad på dåse. Du erfarer at dine varer er særlig efterspurgt ved fronten, da maden kan holde sig i længere tid. Du begynder derfor at producere gullasch på dåse og sælge det til Tyskland. Du ved at kødet, du putter i ikke altid er lige godt, du putter sågar kød i, som bare skal smides ud. Du ved også, at det ikke er helt vellidt at forsyne "fjenden" med mad, dog ved du også, at du er med til at opretholde handelsbalancen i Danmark, samt bidrage til opretholdelse af den økonomiske balance i statskassen. Samtidig nyder du og din familie selv rigtig godt af dine konservesdåser. Det omkringliggende samfund begynder dog at se skævt til dig og du fornemmer, at det ikke er helt okay at handle med "fjenden." Hvad gør du? Stopper du din handel med Tyskerne eller fortsætter du.? </w:t>
      </w:r>
    </w:p>
    <w:p w:rsidR="00A708E7" w:rsidRDefault="00A708E7" w:rsidP="00A708E7">
      <w:pPr>
        <w:spacing w:after="0"/>
      </w:pPr>
    </w:p>
    <w:p w:rsidR="00A708E7" w:rsidRDefault="00A708E7" w:rsidP="00A708E7">
      <w:pPr>
        <w:spacing w:after="0"/>
      </w:pPr>
    </w:p>
    <w:p w:rsidR="00A708E7" w:rsidRDefault="00A708E7" w:rsidP="00A708E7">
      <w:pPr>
        <w:spacing w:after="0"/>
      </w:pPr>
    </w:p>
    <w:p w:rsidR="00A708E7" w:rsidRDefault="00A708E7" w:rsidP="00A708E7"/>
    <w:sectPr w:rsidR="00A708E7" w:rsidSect="00A708E7">
      <w:pgSz w:w="11906" w:h="16838"/>
      <w:pgMar w:top="170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B755B"/>
    <w:multiLevelType w:val="hybridMultilevel"/>
    <w:tmpl w:val="02CC929E"/>
    <w:lvl w:ilvl="0" w:tplc="FFFFFFFF">
      <w:start w:val="1"/>
      <w:numFmt w:val="bullet"/>
      <w:lvlText w:val=""/>
      <w:lvlJc w:val="left"/>
      <w:pPr>
        <w:ind w:left="720" w:hanging="360"/>
      </w:pPr>
      <w:rPr>
        <w:rFonts w:ascii="Symbol" w:hAnsi="Symbol" w:hint="default"/>
      </w:rPr>
    </w:lvl>
    <w:lvl w:ilvl="1" w:tplc="FF4E0AAA">
      <w:start w:val="1"/>
      <w:numFmt w:val="bullet"/>
      <w:lvlText w:val="o"/>
      <w:lvlJc w:val="left"/>
      <w:pPr>
        <w:ind w:left="1440" w:hanging="360"/>
      </w:pPr>
      <w:rPr>
        <w:rFonts w:ascii="Courier New" w:hAnsi="Courier New" w:hint="default"/>
      </w:rPr>
    </w:lvl>
    <w:lvl w:ilvl="2" w:tplc="910E35F4">
      <w:start w:val="1"/>
      <w:numFmt w:val="bullet"/>
      <w:lvlText w:val=""/>
      <w:lvlJc w:val="left"/>
      <w:pPr>
        <w:ind w:left="2160" w:hanging="360"/>
      </w:pPr>
      <w:rPr>
        <w:rFonts w:ascii="Wingdings" w:hAnsi="Wingdings" w:hint="default"/>
      </w:rPr>
    </w:lvl>
    <w:lvl w:ilvl="3" w:tplc="2D1E6546">
      <w:start w:val="1"/>
      <w:numFmt w:val="bullet"/>
      <w:lvlText w:val=""/>
      <w:lvlJc w:val="left"/>
      <w:pPr>
        <w:ind w:left="2880" w:hanging="360"/>
      </w:pPr>
      <w:rPr>
        <w:rFonts w:ascii="Symbol" w:hAnsi="Symbol" w:hint="default"/>
      </w:rPr>
    </w:lvl>
    <w:lvl w:ilvl="4" w:tplc="B052B7F0">
      <w:start w:val="1"/>
      <w:numFmt w:val="bullet"/>
      <w:lvlText w:val="o"/>
      <w:lvlJc w:val="left"/>
      <w:pPr>
        <w:ind w:left="3600" w:hanging="360"/>
      </w:pPr>
      <w:rPr>
        <w:rFonts w:ascii="Courier New" w:hAnsi="Courier New" w:hint="default"/>
      </w:rPr>
    </w:lvl>
    <w:lvl w:ilvl="5" w:tplc="10BC7FD6">
      <w:start w:val="1"/>
      <w:numFmt w:val="bullet"/>
      <w:lvlText w:val=""/>
      <w:lvlJc w:val="left"/>
      <w:pPr>
        <w:ind w:left="4320" w:hanging="360"/>
      </w:pPr>
      <w:rPr>
        <w:rFonts w:ascii="Wingdings" w:hAnsi="Wingdings" w:hint="default"/>
      </w:rPr>
    </w:lvl>
    <w:lvl w:ilvl="6" w:tplc="BA945FA0">
      <w:start w:val="1"/>
      <w:numFmt w:val="bullet"/>
      <w:lvlText w:val=""/>
      <w:lvlJc w:val="left"/>
      <w:pPr>
        <w:ind w:left="5040" w:hanging="360"/>
      </w:pPr>
      <w:rPr>
        <w:rFonts w:ascii="Symbol" w:hAnsi="Symbol" w:hint="default"/>
      </w:rPr>
    </w:lvl>
    <w:lvl w:ilvl="7" w:tplc="D7B4B37C">
      <w:start w:val="1"/>
      <w:numFmt w:val="bullet"/>
      <w:lvlText w:val="o"/>
      <w:lvlJc w:val="left"/>
      <w:pPr>
        <w:ind w:left="5760" w:hanging="360"/>
      </w:pPr>
      <w:rPr>
        <w:rFonts w:ascii="Courier New" w:hAnsi="Courier New" w:hint="default"/>
      </w:rPr>
    </w:lvl>
    <w:lvl w:ilvl="8" w:tplc="24EA6C68">
      <w:start w:val="1"/>
      <w:numFmt w:val="bullet"/>
      <w:lvlText w:val=""/>
      <w:lvlJc w:val="left"/>
      <w:pPr>
        <w:ind w:left="6480" w:hanging="360"/>
      </w:pPr>
      <w:rPr>
        <w:rFonts w:ascii="Wingdings" w:hAnsi="Wingdings" w:hint="default"/>
      </w:rPr>
    </w:lvl>
  </w:abstractNum>
  <w:abstractNum w:abstractNumId="1">
    <w:nsid w:val="2B6C13C8"/>
    <w:multiLevelType w:val="hybridMultilevel"/>
    <w:tmpl w:val="34087188"/>
    <w:lvl w:ilvl="0" w:tplc="FFFFFFFF">
      <w:start w:val="1"/>
      <w:numFmt w:val="bullet"/>
      <w:lvlText w:val=""/>
      <w:lvlJc w:val="left"/>
      <w:pPr>
        <w:ind w:left="720" w:hanging="360"/>
      </w:pPr>
      <w:rPr>
        <w:rFonts w:ascii="Symbol" w:hAnsi="Symbol" w:hint="default"/>
      </w:rPr>
    </w:lvl>
    <w:lvl w:ilvl="1" w:tplc="0BD09216">
      <w:start w:val="1"/>
      <w:numFmt w:val="bullet"/>
      <w:lvlText w:val="o"/>
      <w:lvlJc w:val="left"/>
      <w:pPr>
        <w:ind w:left="1440" w:hanging="360"/>
      </w:pPr>
      <w:rPr>
        <w:rFonts w:ascii="Courier New" w:hAnsi="Courier New" w:hint="default"/>
      </w:rPr>
    </w:lvl>
    <w:lvl w:ilvl="2" w:tplc="C142A220">
      <w:start w:val="1"/>
      <w:numFmt w:val="bullet"/>
      <w:lvlText w:val=""/>
      <w:lvlJc w:val="left"/>
      <w:pPr>
        <w:ind w:left="2160" w:hanging="360"/>
      </w:pPr>
      <w:rPr>
        <w:rFonts w:ascii="Wingdings" w:hAnsi="Wingdings" w:hint="default"/>
      </w:rPr>
    </w:lvl>
    <w:lvl w:ilvl="3" w:tplc="5324F8EE">
      <w:start w:val="1"/>
      <w:numFmt w:val="bullet"/>
      <w:lvlText w:val=""/>
      <w:lvlJc w:val="left"/>
      <w:pPr>
        <w:ind w:left="2880" w:hanging="360"/>
      </w:pPr>
      <w:rPr>
        <w:rFonts w:ascii="Symbol" w:hAnsi="Symbol" w:hint="default"/>
      </w:rPr>
    </w:lvl>
    <w:lvl w:ilvl="4" w:tplc="488EFEEA">
      <w:start w:val="1"/>
      <w:numFmt w:val="bullet"/>
      <w:lvlText w:val="o"/>
      <w:lvlJc w:val="left"/>
      <w:pPr>
        <w:ind w:left="3600" w:hanging="360"/>
      </w:pPr>
      <w:rPr>
        <w:rFonts w:ascii="Courier New" w:hAnsi="Courier New" w:hint="default"/>
      </w:rPr>
    </w:lvl>
    <w:lvl w:ilvl="5" w:tplc="F7BA39EA">
      <w:start w:val="1"/>
      <w:numFmt w:val="bullet"/>
      <w:lvlText w:val=""/>
      <w:lvlJc w:val="left"/>
      <w:pPr>
        <w:ind w:left="4320" w:hanging="360"/>
      </w:pPr>
      <w:rPr>
        <w:rFonts w:ascii="Wingdings" w:hAnsi="Wingdings" w:hint="default"/>
      </w:rPr>
    </w:lvl>
    <w:lvl w:ilvl="6" w:tplc="45EE1D42">
      <w:start w:val="1"/>
      <w:numFmt w:val="bullet"/>
      <w:lvlText w:val=""/>
      <w:lvlJc w:val="left"/>
      <w:pPr>
        <w:ind w:left="5040" w:hanging="360"/>
      </w:pPr>
      <w:rPr>
        <w:rFonts w:ascii="Symbol" w:hAnsi="Symbol" w:hint="default"/>
      </w:rPr>
    </w:lvl>
    <w:lvl w:ilvl="7" w:tplc="D8C81CBE">
      <w:start w:val="1"/>
      <w:numFmt w:val="bullet"/>
      <w:lvlText w:val="o"/>
      <w:lvlJc w:val="left"/>
      <w:pPr>
        <w:ind w:left="5760" w:hanging="360"/>
      </w:pPr>
      <w:rPr>
        <w:rFonts w:ascii="Courier New" w:hAnsi="Courier New" w:hint="default"/>
      </w:rPr>
    </w:lvl>
    <w:lvl w:ilvl="8" w:tplc="EBC224CE">
      <w:start w:val="1"/>
      <w:numFmt w:val="bullet"/>
      <w:lvlText w:val=""/>
      <w:lvlJc w:val="left"/>
      <w:pPr>
        <w:ind w:left="6480" w:hanging="360"/>
      </w:pPr>
      <w:rPr>
        <w:rFonts w:ascii="Wingdings" w:hAnsi="Wingdings" w:hint="default"/>
      </w:rPr>
    </w:lvl>
  </w:abstractNum>
  <w:abstractNum w:abstractNumId="2">
    <w:nsid w:val="47C50B13"/>
    <w:multiLevelType w:val="hybridMultilevel"/>
    <w:tmpl w:val="0B80697E"/>
    <w:lvl w:ilvl="0" w:tplc="FFFFFFFF">
      <w:start w:val="1"/>
      <w:numFmt w:val="bullet"/>
      <w:lvlText w:val=""/>
      <w:lvlJc w:val="left"/>
      <w:pPr>
        <w:ind w:left="720" w:hanging="360"/>
      </w:pPr>
      <w:rPr>
        <w:rFonts w:ascii="Symbol" w:hAnsi="Symbol" w:hint="default"/>
      </w:rPr>
    </w:lvl>
    <w:lvl w:ilvl="1" w:tplc="8B3851D2">
      <w:start w:val="1"/>
      <w:numFmt w:val="bullet"/>
      <w:lvlText w:val="o"/>
      <w:lvlJc w:val="left"/>
      <w:pPr>
        <w:ind w:left="1440" w:hanging="360"/>
      </w:pPr>
      <w:rPr>
        <w:rFonts w:ascii="Courier New" w:hAnsi="Courier New" w:hint="default"/>
      </w:rPr>
    </w:lvl>
    <w:lvl w:ilvl="2" w:tplc="7BD4DCD6">
      <w:start w:val="1"/>
      <w:numFmt w:val="bullet"/>
      <w:lvlText w:val=""/>
      <w:lvlJc w:val="left"/>
      <w:pPr>
        <w:ind w:left="2160" w:hanging="360"/>
      </w:pPr>
      <w:rPr>
        <w:rFonts w:ascii="Wingdings" w:hAnsi="Wingdings" w:hint="default"/>
      </w:rPr>
    </w:lvl>
    <w:lvl w:ilvl="3" w:tplc="A010F6BC">
      <w:start w:val="1"/>
      <w:numFmt w:val="bullet"/>
      <w:lvlText w:val=""/>
      <w:lvlJc w:val="left"/>
      <w:pPr>
        <w:ind w:left="2880" w:hanging="360"/>
      </w:pPr>
      <w:rPr>
        <w:rFonts w:ascii="Symbol" w:hAnsi="Symbol" w:hint="default"/>
      </w:rPr>
    </w:lvl>
    <w:lvl w:ilvl="4" w:tplc="1ABAD926">
      <w:start w:val="1"/>
      <w:numFmt w:val="bullet"/>
      <w:lvlText w:val="o"/>
      <w:lvlJc w:val="left"/>
      <w:pPr>
        <w:ind w:left="3600" w:hanging="360"/>
      </w:pPr>
      <w:rPr>
        <w:rFonts w:ascii="Courier New" w:hAnsi="Courier New" w:hint="default"/>
      </w:rPr>
    </w:lvl>
    <w:lvl w:ilvl="5" w:tplc="059C93AA">
      <w:start w:val="1"/>
      <w:numFmt w:val="bullet"/>
      <w:lvlText w:val=""/>
      <w:lvlJc w:val="left"/>
      <w:pPr>
        <w:ind w:left="4320" w:hanging="360"/>
      </w:pPr>
      <w:rPr>
        <w:rFonts w:ascii="Wingdings" w:hAnsi="Wingdings" w:hint="default"/>
      </w:rPr>
    </w:lvl>
    <w:lvl w:ilvl="6" w:tplc="6E366A8C">
      <w:start w:val="1"/>
      <w:numFmt w:val="bullet"/>
      <w:lvlText w:val=""/>
      <w:lvlJc w:val="left"/>
      <w:pPr>
        <w:ind w:left="5040" w:hanging="360"/>
      </w:pPr>
      <w:rPr>
        <w:rFonts w:ascii="Symbol" w:hAnsi="Symbol" w:hint="default"/>
      </w:rPr>
    </w:lvl>
    <w:lvl w:ilvl="7" w:tplc="E1088642">
      <w:start w:val="1"/>
      <w:numFmt w:val="bullet"/>
      <w:lvlText w:val="o"/>
      <w:lvlJc w:val="left"/>
      <w:pPr>
        <w:ind w:left="5760" w:hanging="360"/>
      </w:pPr>
      <w:rPr>
        <w:rFonts w:ascii="Courier New" w:hAnsi="Courier New" w:hint="default"/>
      </w:rPr>
    </w:lvl>
    <w:lvl w:ilvl="8" w:tplc="283860D8">
      <w:start w:val="1"/>
      <w:numFmt w:val="bullet"/>
      <w:lvlText w:val=""/>
      <w:lvlJc w:val="left"/>
      <w:pPr>
        <w:ind w:left="6480" w:hanging="360"/>
      </w:pPr>
      <w:rPr>
        <w:rFonts w:ascii="Wingdings" w:hAnsi="Wingdings" w:hint="default"/>
      </w:rPr>
    </w:lvl>
  </w:abstractNum>
  <w:abstractNum w:abstractNumId="3">
    <w:nsid w:val="4B5128D0"/>
    <w:multiLevelType w:val="hybridMultilevel"/>
    <w:tmpl w:val="DA4AC5B8"/>
    <w:lvl w:ilvl="0" w:tplc="FFFFFFFF">
      <w:start w:val="1"/>
      <w:numFmt w:val="bullet"/>
      <w:lvlText w:val=""/>
      <w:lvlJc w:val="left"/>
      <w:pPr>
        <w:ind w:left="720" w:hanging="360"/>
      </w:pPr>
      <w:rPr>
        <w:rFonts w:ascii="Symbol" w:hAnsi="Symbol" w:hint="default"/>
      </w:rPr>
    </w:lvl>
    <w:lvl w:ilvl="1" w:tplc="940AE9B0">
      <w:start w:val="1"/>
      <w:numFmt w:val="bullet"/>
      <w:lvlText w:val="o"/>
      <w:lvlJc w:val="left"/>
      <w:pPr>
        <w:ind w:left="1440" w:hanging="360"/>
      </w:pPr>
      <w:rPr>
        <w:rFonts w:ascii="Courier New" w:hAnsi="Courier New" w:hint="default"/>
      </w:rPr>
    </w:lvl>
    <w:lvl w:ilvl="2" w:tplc="993CF762">
      <w:start w:val="1"/>
      <w:numFmt w:val="bullet"/>
      <w:lvlText w:val=""/>
      <w:lvlJc w:val="left"/>
      <w:pPr>
        <w:ind w:left="2160" w:hanging="360"/>
      </w:pPr>
      <w:rPr>
        <w:rFonts w:ascii="Wingdings" w:hAnsi="Wingdings" w:hint="default"/>
      </w:rPr>
    </w:lvl>
    <w:lvl w:ilvl="3" w:tplc="ECCAA8F2">
      <w:start w:val="1"/>
      <w:numFmt w:val="bullet"/>
      <w:lvlText w:val=""/>
      <w:lvlJc w:val="left"/>
      <w:pPr>
        <w:ind w:left="2880" w:hanging="360"/>
      </w:pPr>
      <w:rPr>
        <w:rFonts w:ascii="Symbol" w:hAnsi="Symbol" w:hint="default"/>
      </w:rPr>
    </w:lvl>
    <w:lvl w:ilvl="4" w:tplc="F28ED708">
      <w:start w:val="1"/>
      <w:numFmt w:val="bullet"/>
      <w:lvlText w:val="o"/>
      <w:lvlJc w:val="left"/>
      <w:pPr>
        <w:ind w:left="3600" w:hanging="360"/>
      </w:pPr>
      <w:rPr>
        <w:rFonts w:ascii="Courier New" w:hAnsi="Courier New" w:hint="default"/>
      </w:rPr>
    </w:lvl>
    <w:lvl w:ilvl="5" w:tplc="0240885E">
      <w:start w:val="1"/>
      <w:numFmt w:val="bullet"/>
      <w:lvlText w:val=""/>
      <w:lvlJc w:val="left"/>
      <w:pPr>
        <w:ind w:left="4320" w:hanging="360"/>
      </w:pPr>
      <w:rPr>
        <w:rFonts w:ascii="Wingdings" w:hAnsi="Wingdings" w:hint="default"/>
      </w:rPr>
    </w:lvl>
    <w:lvl w:ilvl="6" w:tplc="12C2012E">
      <w:start w:val="1"/>
      <w:numFmt w:val="bullet"/>
      <w:lvlText w:val=""/>
      <w:lvlJc w:val="left"/>
      <w:pPr>
        <w:ind w:left="5040" w:hanging="360"/>
      </w:pPr>
      <w:rPr>
        <w:rFonts w:ascii="Symbol" w:hAnsi="Symbol" w:hint="default"/>
      </w:rPr>
    </w:lvl>
    <w:lvl w:ilvl="7" w:tplc="941CA25A">
      <w:start w:val="1"/>
      <w:numFmt w:val="bullet"/>
      <w:lvlText w:val="o"/>
      <w:lvlJc w:val="left"/>
      <w:pPr>
        <w:ind w:left="5760" w:hanging="360"/>
      </w:pPr>
      <w:rPr>
        <w:rFonts w:ascii="Courier New" w:hAnsi="Courier New" w:hint="default"/>
      </w:rPr>
    </w:lvl>
    <w:lvl w:ilvl="8" w:tplc="BEC66B9A">
      <w:start w:val="1"/>
      <w:numFmt w:val="bullet"/>
      <w:lvlText w:val=""/>
      <w:lvlJc w:val="left"/>
      <w:pPr>
        <w:ind w:left="6480" w:hanging="360"/>
      </w:pPr>
      <w:rPr>
        <w:rFonts w:ascii="Wingdings" w:hAnsi="Wingdings" w:hint="default"/>
      </w:rPr>
    </w:lvl>
  </w:abstractNum>
  <w:abstractNum w:abstractNumId="4">
    <w:nsid w:val="51B67AA2"/>
    <w:multiLevelType w:val="hybridMultilevel"/>
    <w:tmpl w:val="B9C2FB5A"/>
    <w:lvl w:ilvl="0" w:tplc="FFFFFFFF">
      <w:start w:val="1"/>
      <w:numFmt w:val="bullet"/>
      <w:lvlText w:val=""/>
      <w:lvlJc w:val="left"/>
      <w:pPr>
        <w:ind w:left="720" w:hanging="360"/>
      </w:pPr>
      <w:rPr>
        <w:rFonts w:ascii="Symbol" w:hAnsi="Symbol" w:hint="default"/>
      </w:rPr>
    </w:lvl>
    <w:lvl w:ilvl="1" w:tplc="192E5346">
      <w:start w:val="1"/>
      <w:numFmt w:val="bullet"/>
      <w:lvlText w:val="o"/>
      <w:lvlJc w:val="left"/>
      <w:pPr>
        <w:ind w:left="1440" w:hanging="360"/>
      </w:pPr>
      <w:rPr>
        <w:rFonts w:ascii="Courier New" w:hAnsi="Courier New" w:hint="default"/>
      </w:rPr>
    </w:lvl>
    <w:lvl w:ilvl="2" w:tplc="19F073AC">
      <w:start w:val="1"/>
      <w:numFmt w:val="bullet"/>
      <w:lvlText w:val=""/>
      <w:lvlJc w:val="left"/>
      <w:pPr>
        <w:ind w:left="2160" w:hanging="360"/>
      </w:pPr>
      <w:rPr>
        <w:rFonts w:ascii="Wingdings" w:hAnsi="Wingdings" w:hint="default"/>
      </w:rPr>
    </w:lvl>
    <w:lvl w:ilvl="3" w:tplc="F932BA48">
      <w:start w:val="1"/>
      <w:numFmt w:val="bullet"/>
      <w:lvlText w:val=""/>
      <w:lvlJc w:val="left"/>
      <w:pPr>
        <w:ind w:left="2880" w:hanging="360"/>
      </w:pPr>
      <w:rPr>
        <w:rFonts w:ascii="Symbol" w:hAnsi="Symbol" w:hint="default"/>
      </w:rPr>
    </w:lvl>
    <w:lvl w:ilvl="4" w:tplc="1458F7AE">
      <w:start w:val="1"/>
      <w:numFmt w:val="bullet"/>
      <w:lvlText w:val="o"/>
      <w:lvlJc w:val="left"/>
      <w:pPr>
        <w:ind w:left="3600" w:hanging="360"/>
      </w:pPr>
      <w:rPr>
        <w:rFonts w:ascii="Courier New" w:hAnsi="Courier New" w:hint="default"/>
      </w:rPr>
    </w:lvl>
    <w:lvl w:ilvl="5" w:tplc="5650C5FC">
      <w:start w:val="1"/>
      <w:numFmt w:val="bullet"/>
      <w:lvlText w:val=""/>
      <w:lvlJc w:val="left"/>
      <w:pPr>
        <w:ind w:left="4320" w:hanging="360"/>
      </w:pPr>
      <w:rPr>
        <w:rFonts w:ascii="Wingdings" w:hAnsi="Wingdings" w:hint="default"/>
      </w:rPr>
    </w:lvl>
    <w:lvl w:ilvl="6" w:tplc="E37E00A6">
      <w:start w:val="1"/>
      <w:numFmt w:val="bullet"/>
      <w:lvlText w:val=""/>
      <w:lvlJc w:val="left"/>
      <w:pPr>
        <w:ind w:left="5040" w:hanging="360"/>
      </w:pPr>
      <w:rPr>
        <w:rFonts w:ascii="Symbol" w:hAnsi="Symbol" w:hint="default"/>
      </w:rPr>
    </w:lvl>
    <w:lvl w:ilvl="7" w:tplc="49047F1E">
      <w:start w:val="1"/>
      <w:numFmt w:val="bullet"/>
      <w:lvlText w:val="o"/>
      <w:lvlJc w:val="left"/>
      <w:pPr>
        <w:ind w:left="5760" w:hanging="360"/>
      </w:pPr>
      <w:rPr>
        <w:rFonts w:ascii="Courier New" w:hAnsi="Courier New" w:hint="default"/>
      </w:rPr>
    </w:lvl>
    <w:lvl w:ilvl="8" w:tplc="1DA23FE2">
      <w:start w:val="1"/>
      <w:numFmt w:val="bullet"/>
      <w:lvlText w:val=""/>
      <w:lvlJc w:val="left"/>
      <w:pPr>
        <w:ind w:left="6480" w:hanging="360"/>
      </w:pPr>
      <w:rPr>
        <w:rFonts w:ascii="Wingdings" w:hAnsi="Wingdings" w:hint="default"/>
      </w:rPr>
    </w:lvl>
  </w:abstractNum>
  <w:abstractNum w:abstractNumId="5">
    <w:nsid w:val="593061A1"/>
    <w:multiLevelType w:val="hybridMultilevel"/>
    <w:tmpl w:val="673257DA"/>
    <w:lvl w:ilvl="0" w:tplc="FFFFFFFF">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nsid w:val="5D1C5602"/>
    <w:multiLevelType w:val="hybridMultilevel"/>
    <w:tmpl w:val="BA12CEF6"/>
    <w:lvl w:ilvl="0" w:tplc="FFFFFFFF">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nsid w:val="65E01E6D"/>
    <w:multiLevelType w:val="hybridMultilevel"/>
    <w:tmpl w:val="C270E808"/>
    <w:lvl w:ilvl="0" w:tplc="FFFFFFFF">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6B5F7645"/>
    <w:multiLevelType w:val="hybridMultilevel"/>
    <w:tmpl w:val="F0687C82"/>
    <w:lvl w:ilvl="0" w:tplc="FFFFFFFF">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7D6275E2"/>
    <w:multiLevelType w:val="hybridMultilevel"/>
    <w:tmpl w:val="60041460"/>
    <w:lvl w:ilvl="0" w:tplc="FFFFFFFF">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7"/>
  </w:num>
  <w:num w:numId="7">
    <w:abstractNumId w:val="9"/>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8E7"/>
    <w:rsid w:val="000E5E8C"/>
    <w:rsid w:val="00116044"/>
    <w:rsid w:val="004F7453"/>
    <w:rsid w:val="00A708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70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708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7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A708E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708E7"/>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unhideWhenUsed/>
    <w:rsid w:val="00A708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70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708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A70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A708E7"/>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A708E7"/>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unhideWhenUsed/>
    <w:rsid w:val="00A708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914-1918.dk" TargetMode="External"/><Relationship Id="rId3" Type="http://schemas.microsoft.com/office/2007/relationships/stylesWithEffects" Target="stylesWithEffects.xml"/><Relationship Id="rId7" Type="http://schemas.openxmlformats.org/officeDocument/2006/relationships/hyperlink" Target="http://1914-1918.dk/spisekamm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914-191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1061</Words>
  <Characters>6473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Bertelsen</dc:creator>
  <cp:lastModifiedBy>Nanna Bertelsen</cp:lastModifiedBy>
  <cp:revision>2</cp:revision>
  <cp:lastPrinted>2015-11-25T14:17:00Z</cp:lastPrinted>
  <dcterms:created xsi:type="dcterms:W3CDTF">2015-11-25T14:17:00Z</dcterms:created>
  <dcterms:modified xsi:type="dcterms:W3CDTF">2015-12-02T11:08:00Z</dcterms:modified>
</cp:coreProperties>
</file>