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7F9" w:rsidRDefault="000617F9" w:rsidP="000617F9">
      <w:pPr>
        <w:pStyle w:val="Titel"/>
      </w:pPr>
      <w:r>
        <w:t>Lektionsplan: Lokalhistorie 1</w:t>
      </w:r>
    </w:p>
    <w:tbl>
      <w:tblPr>
        <w:tblStyle w:val="Tabel-Gitter"/>
        <w:tblW w:w="15452" w:type="dxa"/>
        <w:tblInd w:w="-743" w:type="dxa"/>
        <w:tblLook w:val="04A0" w:firstRow="1" w:lastRow="0" w:firstColumn="1" w:lastColumn="0" w:noHBand="0" w:noVBand="1"/>
      </w:tblPr>
      <w:tblGrid>
        <w:gridCol w:w="1006"/>
        <w:gridCol w:w="2691"/>
        <w:gridCol w:w="2692"/>
        <w:gridCol w:w="2549"/>
        <w:gridCol w:w="3464"/>
        <w:gridCol w:w="3050"/>
      </w:tblGrid>
      <w:tr w:rsidR="000617F9" w:rsidTr="00C346AE">
        <w:tc>
          <w:tcPr>
            <w:tcW w:w="15452" w:type="dxa"/>
            <w:gridSpan w:val="6"/>
          </w:tcPr>
          <w:p w:rsidR="000617F9" w:rsidRPr="00A01171" w:rsidRDefault="000617F9" w:rsidP="00C346AE">
            <w:pPr>
              <w:jc w:val="center"/>
              <w:rPr>
                <w:b/>
                <w:sz w:val="32"/>
                <w:szCs w:val="32"/>
              </w:rPr>
            </w:pPr>
            <w:r>
              <w:rPr>
                <w:b/>
                <w:sz w:val="32"/>
                <w:szCs w:val="32"/>
              </w:rPr>
              <w:t>Lektionsplan</w:t>
            </w:r>
          </w:p>
        </w:tc>
      </w:tr>
      <w:tr w:rsidR="000617F9" w:rsidTr="00C346AE">
        <w:tc>
          <w:tcPr>
            <w:tcW w:w="1006" w:type="dxa"/>
          </w:tcPr>
          <w:p w:rsidR="000617F9" w:rsidRPr="00A01171" w:rsidRDefault="000617F9" w:rsidP="00C346AE">
            <w:pPr>
              <w:rPr>
                <w:sz w:val="16"/>
                <w:szCs w:val="16"/>
              </w:rPr>
            </w:pPr>
            <w:r w:rsidRPr="002B6723">
              <w:rPr>
                <w:b/>
                <w:sz w:val="24"/>
                <w:szCs w:val="24"/>
              </w:rPr>
              <w:t>Modul</w:t>
            </w:r>
          </w:p>
        </w:tc>
        <w:tc>
          <w:tcPr>
            <w:tcW w:w="2691" w:type="dxa"/>
          </w:tcPr>
          <w:p w:rsidR="000617F9" w:rsidRPr="00A01171" w:rsidRDefault="000617F9" w:rsidP="00C346AE">
            <w:pPr>
              <w:rPr>
                <w:b/>
              </w:rPr>
            </w:pPr>
            <w:r w:rsidRPr="002B6723">
              <w:rPr>
                <w:b/>
                <w:sz w:val="24"/>
                <w:szCs w:val="24"/>
              </w:rPr>
              <w:t>Indholdsmæssigt fokus</w:t>
            </w:r>
          </w:p>
        </w:tc>
        <w:tc>
          <w:tcPr>
            <w:tcW w:w="2692" w:type="dxa"/>
          </w:tcPr>
          <w:p w:rsidR="000617F9" w:rsidRDefault="000617F9" w:rsidP="00C346AE">
            <w:r w:rsidRPr="00E10F0D">
              <w:rPr>
                <w:b/>
                <w:sz w:val="24"/>
                <w:szCs w:val="24"/>
              </w:rPr>
              <w:t>Færdighedsmål</w:t>
            </w:r>
          </w:p>
        </w:tc>
        <w:tc>
          <w:tcPr>
            <w:tcW w:w="2549" w:type="dxa"/>
          </w:tcPr>
          <w:p w:rsidR="000617F9" w:rsidRDefault="000617F9" w:rsidP="00C346AE">
            <w:r w:rsidRPr="00E10F0D">
              <w:rPr>
                <w:b/>
                <w:sz w:val="24"/>
                <w:szCs w:val="24"/>
              </w:rPr>
              <w:t>Læringsmål</w:t>
            </w:r>
          </w:p>
        </w:tc>
        <w:tc>
          <w:tcPr>
            <w:tcW w:w="3464" w:type="dxa"/>
          </w:tcPr>
          <w:p w:rsidR="000617F9" w:rsidRDefault="000617F9" w:rsidP="00C346AE">
            <w:r>
              <w:rPr>
                <w:b/>
                <w:sz w:val="24"/>
                <w:szCs w:val="24"/>
              </w:rPr>
              <w:t>Undervisningsa</w:t>
            </w:r>
            <w:r w:rsidRPr="00E10F0D">
              <w:rPr>
                <w:b/>
                <w:sz w:val="24"/>
                <w:szCs w:val="24"/>
              </w:rPr>
              <w:t>ktivitet</w:t>
            </w:r>
          </w:p>
        </w:tc>
        <w:tc>
          <w:tcPr>
            <w:tcW w:w="3050" w:type="dxa"/>
          </w:tcPr>
          <w:p w:rsidR="000617F9" w:rsidRPr="001F0896" w:rsidRDefault="000617F9" w:rsidP="00C346AE">
            <w:pPr>
              <w:rPr>
                <w:b/>
                <w:sz w:val="24"/>
                <w:szCs w:val="24"/>
              </w:rPr>
            </w:pPr>
            <w:r w:rsidRPr="001F0896">
              <w:rPr>
                <w:b/>
                <w:sz w:val="24"/>
                <w:szCs w:val="24"/>
              </w:rPr>
              <w:t>Tegn på læring</w:t>
            </w:r>
          </w:p>
          <w:p w:rsidR="000617F9" w:rsidRDefault="000617F9" w:rsidP="00C346AE"/>
        </w:tc>
      </w:tr>
      <w:tr w:rsidR="000617F9" w:rsidTr="00C346AE">
        <w:tc>
          <w:tcPr>
            <w:tcW w:w="1006" w:type="dxa"/>
          </w:tcPr>
          <w:p w:rsidR="000617F9" w:rsidRDefault="000617F9" w:rsidP="00C346AE">
            <w:pPr>
              <w:rPr>
                <w:sz w:val="20"/>
              </w:rPr>
            </w:pPr>
            <w:r>
              <w:rPr>
                <w:sz w:val="20"/>
              </w:rPr>
              <w:t>1</w:t>
            </w:r>
          </w:p>
          <w:p w:rsidR="000617F9" w:rsidRPr="00A01171" w:rsidRDefault="000617F9" w:rsidP="00C346AE">
            <w:pPr>
              <w:rPr>
                <w:sz w:val="20"/>
              </w:rPr>
            </w:pPr>
            <w:r>
              <w:rPr>
                <w:sz w:val="20"/>
              </w:rPr>
              <w:t>(2 lektioner)</w:t>
            </w:r>
          </w:p>
        </w:tc>
        <w:tc>
          <w:tcPr>
            <w:tcW w:w="2691" w:type="dxa"/>
          </w:tcPr>
          <w:p w:rsidR="000617F9" w:rsidRPr="00A01171" w:rsidRDefault="000617F9" w:rsidP="00C346AE">
            <w:pPr>
              <w:rPr>
                <w:sz w:val="20"/>
              </w:rPr>
            </w:pPr>
            <w:r>
              <w:rPr>
                <w:sz w:val="20"/>
              </w:rPr>
              <w:t>Research om lokalområdet</w:t>
            </w:r>
          </w:p>
        </w:tc>
        <w:tc>
          <w:tcPr>
            <w:tcW w:w="2692" w:type="dxa"/>
          </w:tcPr>
          <w:p w:rsidR="000617F9" w:rsidRPr="00A01171" w:rsidRDefault="000617F9" w:rsidP="00C346AE">
            <w:pPr>
              <w:rPr>
                <w:sz w:val="20"/>
              </w:rPr>
            </w:pPr>
            <w:r w:rsidRPr="00006E46">
              <w:rPr>
                <w:sz w:val="20"/>
              </w:rPr>
              <w:t>Eleven kan læse historiske kilder og udtrykke sig mundtligt og skriftligt om deres indhold og formål</w:t>
            </w:r>
          </w:p>
        </w:tc>
        <w:tc>
          <w:tcPr>
            <w:tcW w:w="2549" w:type="dxa"/>
          </w:tcPr>
          <w:p w:rsidR="000617F9" w:rsidRDefault="000617F9" w:rsidP="00C346AE">
            <w:pPr>
              <w:rPr>
                <w:sz w:val="20"/>
              </w:rPr>
            </w:pPr>
            <w:r>
              <w:rPr>
                <w:sz w:val="20"/>
              </w:rPr>
              <w:t>Eleven kan</w:t>
            </w:r>
          </w:p>
          <w:p w:rsidR="000617F9" w:rsidRPr="00A01171" w:rsidRDefault="000617F9" w:rsidP="000617F9">
            <w:pPr>
              <w:pStyle w:val="Listeafsnit"/>
              <w:numPr>
                <w:ilvl w:val="0"/>
                <w:numId w:val="1"/>
              </w:numPr>
              <w:ind w:left="176" w:hanging="176"/>
              <w:rPr>
                <w:sz w:val="20"/>
              </w:rPr>
            </w:pPr>
            <w:r>
              <w:rPr>
                <w:sz w:val="20"/>
              </w:rPr>
              <w:t>sammenligne historiske kort og finde forskelle og ligheder</w:t>
            </w:r>
          </w:p>
        </w:tc>
        <w:tc>
          <w:tcPr>
            <w:tcW w:w="3464" w:type="dxa"/>
          </w:tcPr>
          <w:p w:rsidR="000617F9" w:rsidRDefault="000617F9" w:rsidP="000617F9">
            <w:pPr>
              <w:pStyle w:val="Listeafsnit"/>
              <w:numPr>
                <w:ilvl w:val="0"/>
                <w:numId w:val="1"/>
              </w:numPr>
              <w:ind w:left="176" w:hanging="176"/>
              <w:rPr>
                <w:sz w:val="20"/>
              </w:rPr>
            </w:pPr>
            <w:r>
              <w:rPr>
                <w:sz w:val="20"/>
              </w:rPr>
              <w:t xml:space="preserve">Læreren viser eleverne, hvordan hjemmesiden med de historiske kort virker. </w:t>
            </w:r>
          </w:p>
          <w:p w:rsidR="000617F9" w:rsidRDefault="000617F9" w:rsidP="000617F9">
            <w:pPr>
              <w:pStyle w:val="Listeafsnit"/>
              <w:numPr>
                <w:ilvl w:val="0"/>
                <w:numId w:val="1"/>
              </w:numPr>
              <w:ind w:left="176" w:hanging="176"/>
              <w:rPr>
                <w:sz w:val="20"/>
              </w:rPr>
            </w:pPr>
            <w:r>
              <w:rPr>
                <w:sz w:val="20"/>
              </w:rPr>
              <w:t>Eleverne inddeles i grupper af 2-3 og får udleveret sammenligningsark (bilag 1), som de udfylder, mens de laver deres researcharbejde. Eleverne kan efter behov udfylde flere sammenligningsark på tværs af perioder.</w:t>
            </w:r>
          </w:p>
          <w:p w:rsidR="000617F9" w:rsidRPr="00E77B4A" w:rsidRDefault="000617F9" w:rsidP="000617F9">
            <w:pPr>
              <w:pStyle w:val="Listeafsnit"/>
              <w:numPr>
                <w:ilvl w:val="0"/>
                <w:numId w:val="1"/>
              </w:numPr>
              <w:ind w:left="176" w:hanging="176"/>
              <w:rPr>
                <w:sz w:val="20"/>
              </w:rPr>
            </w:pPr>
            <w:r>
              <w:rPr>
                <w:sz w:val="20"/>
              </w:rPr>
              <w:t>Der laves en fælles opsamling på klassen, hvor eleverne viser læreren og de andre elever de forskelle og ligheder, de har fundet mellem de forskellige kort.</w:t>
            </w:r>
          </w:p>
        </w:tc>
        <w:tc>
          <w:tcPr>
            <w:tcW w:w="3050" w:type="dxa"/>
          </w:tcPr>
          <w:p w:rsidR="000617F9" w:rsidRPr="00A01171" w:rsidRDefault="000617F9" w:rsidP="00C346AE">
            <w:pPr>
              <w:pStyle w:val="Tabel-opstilling-punkttegn"/>
            </w:pPr>
          </w:p>
        </w:tc>
      </w:tr>
      <w:tr w:rsidR="000617F9" w:rsidTr="00C346AE">
        <w:tc>
          <w:tcPr>
            <w:tcW w:w="1006" w:type="dxa"/>
          </w:tcPr>
          <w:p w:rsidR="000617F9" w:rsidRDefault="000617F9" w:rsidP="00C346AE">
            <w:pPr>
              <w:rPr>
                <w:sz w:val="20"/>
              </w:rPr>
            </w:pPr>
            <w:r>
              <w:rPr>
                <w:sz w:val="20"/>
              </w:rPr>
              <w:t>2</w:t>
            </w:r>
          </w:p>
          <w:p w:rsidR="000617F9" w:rsidRPr="00A01171" w:rsidRDefault="000617F9" w:rsidP="00C346AE">
            <w:pPr>
              <w:rPr>
                <w:sz w:val="20"/>
              </w:rPr>
            </w:pPr>
            <w:r>
              <w:rPr>
                <w:sz w:val="20"/>
              </w:rPr>
              <w:t>(2 lektioner)</w:t>
            </w:r>
          </w:p>
        </w:tc>
        <w:tc>
          <w:tcPr>
            <w:tcW w:w="2691" w:type="dxa"/>
          </w:tcPr>
          <w:p w:rsidR="000617F9" w:rsidRPr="00C726E2" w:rsidRDefault="000617F9" w:rsidP="00C346AE">
            <w:pPr>
              <w:rPr>
                <w:sz w:val="20"/>
              </w:rPr>
            </w:pPr>
            <w:r>
              <w:rPr>
                <w:sz w:val="20"/>
              </w:rPr>
              <w:t>Lav video</w:t>
            </w:r>
          </w:p>
        </w:tc>
        <w:tc>
          <w:tcPr>
            <w:tcW w:w="2692" w:type="dxa"/>
          </w:tcPr>
          <w:p w:rsidR="000617F9" w:rsidRPr="00A01171" w:rsidRDefault="000617F9" w:rsidP="00C346AE">
            <w:pPr>
              <w:rPr>
                <w:sz w:val="20"/>
              </w:rPr>
            </w:pPr>
            <w:r w:rsidRPr="00006E46">
              <w:rPr>
                <w:sz w:val="20"/>
              </w:rPr>
              <w:t>Eleven kan konstruere historiske fortællinger</w:t>
            </w:r>
          </w:p>
        </w:tc>
        <w:tc>
          <w:tcPr>
            <w:tcW w:w="2549" w:type="dxa"/>
          </w:tcPr>
          <w:p w:rsidR="000617F9" w:rsidRPr="002477C8" w:rsidRDefault="000617F9" w:rsidP="00C346AE">
            <w:pPr>
              <w:rPr>
                <w:sz w:val="20"/>
              </w:rPr>
            </w:pPr>
            <w:r w:rsidRPr="002477C8">
              <w:rPr>
                <w:sz w:val="20"/>
              </w:rPr>
              <w:t>Eleven kan</w:t>
            </w:r>
          </w:p>
          <w:p w:rsidR="000617F9" w:rsidRDefault="000617F9" w:rsidP="000617F9">
            <w:pPr>
              <w:pStyle w:val="Listeafsnit"/>
              <w:numPr>
                <w:ilvl w:val="0"/>
                <w:numId w:val="1"/>
              </w:numPr>
              <w:ind w:left="176" w:hanging="176"/>
              <w:rPr>
                <w:sz w:val="20"/>
              </w:rPr>
            </w:pPr>
            <w:r>
              <w:rPr>
                <w:sz w:val="20"/>
              </w:rPr>
              <w:t>redegøre for brud og kontinuitet i lokalområdets historie</w:t>
            </w:r>
          </w:p>
          <w:p w:rsidR="000617F9" w:rsidRPr="008267BA" w:rsidRDefault="000617F9" w:rsidP="00C346AE">
            <w:pPr>
              <w:rPr>
                <w:sz w:val="20"/>
              </w:rPr>
            </w:pPr>
          </w:p>
        </w:tc>
        <w:tc>
          <w:tcPr>
            <w:tcW w:w="3464" w:type="dxa"/>
          </w:tcPr>
          <w:p w:rsidR="000617F9" w:rsidRDefault="000617F9" w:rsidP="000617F9">
            <w:pPr>
              <w:pStyle w:val="Listeafsnit"/>
              <w:numPr>
                <w:ilvl w:val="0"/>
                <w:numId w:val="2"/>
              </w:numPr>
              <w:ind w:left="176" w:hanging="176"/>
              <w:rPr>
                <w:sz w:val="20"/>
              </w:rPr>
            </w:pPr>
            <w:r>
              <w:rPr>
                <w:sz w:val="20"/>
              </w:rPr>
              <w:t xml:space="preserve">Eleverne laver en video, hvor de ved brug af </w:t>
            </w:r>
            <w:proofErr w:type="spellStart"/>
            <w:r>
              <w:rPr>
                <w:sz w:val="20"/>
              </w:rPr>
              <w:t>screenshots</w:t>
            </w:r>
            <w:proofErr w:type="spellEnd"/>
            <w:r>
              <w:rPr>
                <w:sz w:val="20"/>
              </w:rPr>
              <w:t xml:space="preserve"> eller videooptagelser fra hjemmesiden forklarer forskelle og ligheder i det lokalhistoriske. </w:t>
            </w:r>
          </w:p>
          <w:p w:rsidR="000617F9" w:rsidRPr="006F79E8" w:rsidRDefault="000617F9" w:rsidP="000617F9">
            <w:pPr>
              <w:pStyle w:val="Listeafsnit"/>
              <w:numPr>
                <w:ilvl w:val="0"/>
                <w:numId w:val="2"/>
              </w:numPr>
              <w:ind w:left="176" w:hanging="176"/>
              <w:rPr>
                <w:sz w:val="20"/>
              </w:rPr>
            </w:pPr>
            <w:r>
              <w:rPr>
                <w:sz w:val="20"/>
              </w:rPr>
              <w:t>Videoerne deles med læreren og vises på klassen</w:t>
            </w:r>
          </w:p>
        </w:tc>
        <w:tc>
          <w:tcPr>
            <w:tcW w:w="3050" w:type="dxa"/>
          </w:tcPr>
          <w:p w:rsidR="000617F9" w:rsidRPr="00A01171" w:rsidRDefault="000617F9" w:rsidP="00C346AE">
            <w:pPr>
              <w:rPr>
                <w:sz w:val="20"/>
              </w:rPr>
            </w:pPr>
          </w:p>
        </w:tc>
      </w:tr>
    </w:tbl>
    <w:p w:rsidR="000617F9" w:rsidRDefault="000617F9"/>
    <w:p w:rsidR="000617F9" w:rsidRDefault="000617F9" w:rsidP="000617F9">
      <w:r>
        <w:br w:type="page"/>
      </w:r>
    </w:p>
    <w:p w:rsidR="000617F9" w:rsidRDefault="000617F9">
      <w:pPr>
        <w:sectPr w:rsidR="000617F9" w:rsidSect="000617F9">
          <w:pgSz w:w="16838" w:h="11906" w:orient="landscape"/>
          <w:pgMar w:top="1134" w:right="1701" w:bottom="1134" w:left="1701" w:header="708" w:footer="708" w:gutter="0"/>
          <w:cols w:space="708"/>
          <w:docGrid w:linePitch="360"/>
        </w:sectPr>
      </w:pPr>
    </w:p>
    <w:p w:rsidR="000617F9" w:rsidRDefault="000617F9" w:rsidP="000617F9">
      <w:pPr>
        <w:pStyle w:val="Overskrift1"/>
      </w:pPr>
      <w:r>
        <w:lastRenderedPageBreak/>
        <w:t>Forslag til:</w:t>
      </w:r>
    </w:p>
    <w:p w:rsidR="000617F9" w:rsidRDefault="000617F9" w:rsidP="000617F9">
      <w:pPr>
        <w:pStyle w:val="Overskrift2"/>
      </w:pPr>
      <w:r>
        <w:t>Nærområdet som læringsrum</w:t>
      </w:r>
    </w:p>
    <w:p w:rsidR="000617F9" w:rsidRPr="006A2C20" w:rsidRDefault="000617F9" w:rsidP="000617F9">
      <w:pPr>
        <w:spacing w:after="0"/>
      </w:pPr>
      <w:r>
        <w:t xml:space="preserve">Der tages udgangspunkt i lokalområdet, men læringsrummet er stadig på skolen. I overbygningen kan eleverne igen arbejde med historiske </w:t>
      </w:r>
      <w:r w:rsidRPr="00B54651">
        <w:t xml:space="preserve">kort (Se undervisningsforløb ”Lokalhistorie 2”), hvor </w:t>
      </w:r>
      <w:r>
        <w:t>de denne gang skal bruge lokalområdet som læringsrum, idet de i dette forløb skal ud i lokalområdet.</w:t>
      </w:r>
    </w:p>
    <w:p w:rsidR="00BC1BD5" w:rsidRDefault="00BC1BD5"/>
    <w:p w:rsidR="00BC1BD5" w:rsidRPr="00BC1BD5" w:rsidRDefault="00BC1BD5" w:rsidP="00BC1BD5">
      <w:pPr>
        <w:rPr>
          <w:rFonts w:asciiTheme="majorHAnsi" w:hAnsiTheme="majorHAnsi"/>
          <w:b/>
          <w:sz w:val="26"/>
          <w:szCs w:val="26"/>
        </w:rPr>
      </w:pPr>
      <w:r w:rsidRPr="00BC1BD5">
        <w:rPr>
          <w:rFonts w:asciiTheme="majorHAnsi" w:hAnsiTheme="majorHAnsi"/>
          <w:b/>
          <w:sz w:val="26"/>
          <w:szCs w:val="26"/>
        </w:rPr>
        <w:t>Historiske kort</w:t>
      </w:r>
    </w:p>
    <w:p w:rsidR="000617F9" w:rsidRDefault="00BC1BD5" w:rsidP="00BC1BD5">
      <w:r>
        <w:t xml:space="preserve">Det historiske kort kan tilgås via følgende link: </w:t>
      </w:r>
      <w:bookmarkStart w:id="0" w:name="_GoBack"/>
      <w:bookmarkEnd w:id="0"/>
      <w:r>
        <w:fldChar w:fldCharType="begin"/>
      </w:r>
      <w:r>
        <w:instrText xml:space="preserve"> HYPERLINK "</w:instrText>
      </w:r>
      <w:r>
        <w:instrText>https://historiskekort.dk/</w:instrText>
      </w:r>
      <w:r>
        <w:instrText xml:space="preserve">" </w:instrText>
      </w:r>
      <w:r>
        <w:fldChar w:fldCharType="separate"/>
      </w:r>
      <w:r w:rsidRPr="00EA69DA">
        <w:rPr>
          <w:rStyle w:val="Hyperlink"/>
        </w:rPr>
        <w:t>https://historiskekort.dk/</w:t>
      </w:r>
      <w:r>
        <w:fldChar w:fldCharType="end"/>
      </w:r>
      <w:r>
        <w:t xml:space="preserve"> </w:t>
      </w:r>
      <w:r w:rsidR="000617F9">
        <w:br w:type="page"/>
      </w:r>
    </w:p>
    <w:p w:rsidR="000617F9" w:rsidRPr="00E473A6" w:rsidRDefault="000617F9" w:rsidP="000617F9">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E473A6">
        <w:rPr>
          <w:rFonts w:asciiTheme="majorHAnsi" w:eastAsiaTheme="majorEastAsia" w:hAnsiTheme="majorHAnsi" w:cstheme="majorBidi"/>
          <w:color w:val="17365D" w:themeColor="text2" w:themeShade="BF"/>
          <w:spacing w:val="5"/>
          <w:kern w:val="28"/>
          <w:sz w:val="52"/>
          <w:szCs w:val="52"/>
        </w:rPr>
        <w:lastRenderedPageBreak/>
        <w:t>Bilag</w:t>
      </w:r>
      <w:r>
        <w:rPr>
          <w:rFonts w:asciiTheme="majorHAnsi" w:eastAsiaTheme="majorEastAsia" w:hAnsiTheme="majorHAnsi" w:cstheme="majorBidi"/>
          <w:color w:val="17365D" w:themeColor="text2" w:themeShade="BF"/>
          <w:spacing w:val="5"/>
          <w:kern w:val="28"/>
          <w:sz w:val="52"/>
          <w:szCs w:val="52"/>
        </w:rPr>
        <w:t xml:space="preserve"> 1 Sammenligningsark</w:t>
      </w:r>
    </w:p>
    <w:p w:rsidR="000617F9" w:rsidRDefault="000617F9" w:rsidP="000617F9">
      <w:pPr>
        <w:spacing w:after="0"/>
      </w:pPr>
    </w:p>
    <w:p w:rsidR="000617F9" w:rsidRDefault="000617F9" w:rsidP="000617F9">
      <w:pPr>
        <w:spacing w:after="0"/>
      </w:pPr>
    </w:p>
    <w:p w:rsidR="000617F9" w:rsidRDefault="000617F9" w:rsidP="000617F9">
      <w:pPr>
        <w:pStyle w:val="Listeafsnit"/>
        <w:numPr>
          <w:ilvl w:val="0"/>
          <w:numId w:val="4"/>
        </w:numPr>
        <w:spacing w:after="0"/>
      </w:pPr>
      <w:r>
        <w:t>Skriv hvilket baggrundskort og hvilket sammenligningskort I bruger i denne undersøgelse.</w:t>
      </w:r>
    </w:p>
    <w:p w:rsidR="000617F9" w:rsidRDefault="000617F9" w:rsidP="000617F9">
      <w:pPr>
        <w:pStyle w:val="Listeafsnit"/>
        <w:spacing w:after="0"/>
      </w:pPr>
    </w:p>
    <w:p w:rsidR="000617F9" w:rsidRDefault="000617F9" w:rsidP="000617F9">
      <w:pPr>
        <w:pStyle w:val="Listeafsnit"/>
        <w:spacing w:after="0"/>
      </w:pPr>
    </w:p>
    <w:p w:rsidR="000617F9" w:rsidRDefault="000617F9" w:rsidP="000617F9">
      <w:pPr>
        <w:pStyle w:val="Listeafsnit"/>
        <w:spacing w:after="0"/>
      </w:pPr>
    </w:p>
    <w:p w:rsidR="000617F9" w:rsidRDefault="000617F9" w:rsidP="000617F9">
      <w:pPr>
        <w:pStyle w:val="Listeafsnit"/>
        <w:spacing w:after="0"/>
      </w:pPr>
    </w:p>
    <w:p w:rsidR="000617F9" w:rsidRDefault="000617F9" w:rsidP="000617F9">
      <w:pPr>
        <w:pStyle w:val="Listeafsnit"/>
        <w:spacing w:after="0"/>
      </w:pPr>
    </w:p>
    <w:p w:rsidR="000617F9" w:rsidRDefault="000617F9" w:rsidP="000617F9">
      <w:pPr>
        <w:pStyle w:val="Listeafsnit"/>
        <w:numPr>
          <w:ilvl w:val="0"/>
          <w:numId w:val="4"/>
        </w:numPr>
        <w:spacing w:after="0"/>
      </w:pPr>
      <w:r>
        <w:t>Hvilke forskelle er der mellem de to kort? (Skriv så detaljeret som muligt)</w:t>
      </w:r>
    </w:p>
    <w:p w:rsidR="000617F9" w:rsidRDefault="000617F9" w:rsidP="000617F9">
      <w:pPr>
        <w:spacing w:after="0"/>
      </w:pPr>
    </w:p>
    <w:p w:rsidR="000617F9" w:rsidRDefault="000617F9" w:rsidP="000617F9">
      <w:pPr>
        <w:spacing w:after="0"/>
      </w:pPr>
    </w:p>
    <w:p w:rsidR="000617F9" w:rsidRDefault="000617F9" w:rsidP="000617F9">
      <w:pPr>
        <w:spacing w:after="0"/>
      </w:pPr>
    </w:p>
    <w:p w:rsidR="000617F9" w:rsidRDefault="000617F9" w:rsidP="000617F9">
      <w:pPr>
        <w:spacing w:after="0"/>
      </w:pPr>
    </w:p>
    <w:p w:rsidR="000617F9" w:rsidRDefault="000617F9" w:rsidP="000617F9">
      <w:pPr>
        <w:spacing w:after="0"/>
      </w:pPr>
    </w:p>
    <w:p w:rsidR="000617F9" w:rsidRDefault="000617F9" w:rsidP="000617F9">
      <w:pPr>
        <w:spacing w:after="0"/>
      </w:pPr>
    </w:p>
    <w:p w:rsidR="000617F9" w:rsidRDefault="000617F9" w:rsidP="000617F9">
      <w:pPr>
        <w:spacing w:after="0"/>
      </w:pPr>
    </w:p>
    <w:p w:rsidR="000617F9" w:rsidRDefault="000617F9" w:rsidP="000617F9">
      <w:pPr>
        <w:pStyle w:val="Listeafsnit"/>
        <w:numPr>
          <w:ilvl w:val="0"/>
          <w:numId w:val="4"/>
        </w:numPr>
        <w:spacing w:after="0"/>
      </w:pPr>
      <w:r>
        <w:t>Hvilke ligheder er der mellem de to kort?</w:t>
      </w:r>
      <w:r w:rsidRPr="008267BA">
        <w:t xml:space="preserve"> (Skriv så detaljeret som muligt)</w:t>
      </w:r>
    </w:p>
    <w:p w:rsidR="000617F9" w:rsidRDefault="000617F9" w:rsidP="000617F9">
      <w:pPr>
        <w:spacing w:after="0"/>
      </w:pPr>
    </w:p>
    <w:p w:rsidR="000617F9" w:rsidRDefault="000617F9" w:rsidP="000617F9">
      <w:pPr>
        <w:spacing w:after="0"/>
      </w:pPr>
    </w:p>
    <w:p w:rsidR="000617F9" w:rsidRDefault="000617F9" w:rsidP="000617F9">
      <w:pPr>
        <w:spacing w:after="0"/>
      </w:pPr>
    </w:p>
    <w:p w:rsidR="000617F9" w:rsidRDefault="000617F9" w:rsidP="000617F9">
      <w:pPr>
        <w:spacing w:after="0"/>
      </w:pPr>
    </w:p>
    <w:p w:rsidR="000617F9" w:rsidRDefault="000617F9" w:rsidP="000617F9">
      <w:pPr>
        <w:spacing w:after="0"/>
      </w:pPr>
    </w:p>
    <w:p w:rsidR="000617F9" w:rsidRDefault="000617F9" w:rsidP="000617F9">
      <w:pPr>
        <w:spacing w:after="0"/>
      </w:pPr>
    </w:p>
    <w:p w:rsidR="000617F9" w:rsidRDefault="000617F9" w:rsidP="000617F9">
      <w:pPr>
        <w:spacing w:after="0"/>
      </w:pPr>
    </w:p>
    <w:p w:rsidR="000617F9" w:rsidRPr="00AF18DA" w:rsidRDefault="000617F9" w:rsidP="000617F9">
      <w:pPr>
        <w:pStyle w:val="Listeafsnit"/>
        <w:numPr>
          <w:ilvl w:val="0"/>
          <w:numId w:val="4"/>
        </w:numPr>
        <w:spacing w:after="0"/>
      </w:pPr>
      <w:r>
        <w:t>Hvad undrer vi os over i forhold til forskelle og ligheder? (Det kan være beliggenheder, der har ændret sig, bygninger der er opstået eller forsvundet, markområder, der er blevet til beboelsesområde, marker der har ændret størrelse eller form osv.)</w:t>
      </w:r>
    </w:p>
    <w:p w:rsidR="0027575F" w:rsidRDefault="00BC1BD5"/>
    <w:sectPr w:rsidR="0027575F" w:rsidSect="000617F9">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4184E"/>
    <w:multiLevelType w:val="hybridMultilevel"/>
    <w:tmpl w:val="7878378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5F690488"/>
    <w:multiLevelType w:val="hybridMultilevel"/>
    <w:tmpl w:val="12D2658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5E01E6D"/>
    <w:multiLevelType w:val="hybridMultilevel"/>
    <w:tmpl w:val="C270E808"/>
    <w:lvl w:ilvl="0" w:tplc="04060005">
      <w:start w:val="1"/>
      <w:numFmt w:val="bullet"/>
      <w:pStyle w:val="Opstilling-punkttegn"/>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7F9"/>
    <w:rsid w:val="000617F9"/>
    <w:rsid w:val="000E5E8C"/>
    <w:rsid w:val="0031718B"/>
    <w:rsid w:val="004F7453"/>
    <w:rsid w:val="00BC1BD5"/>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1F755"/>
  <w15:docId w15:val="{53727A02-BAED-4360-8197-CA211C7C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0617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0617F9"/>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061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0617F9"/>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0617F9"/>
    <w:rPr>
      <w:rFonts w:eastAsiaTheme="minorEastAsia"/>
      <w:sz w:val="18"/>
      <w:lang w:eastAsia="da-DK"/>
    </w:rPr>
  </w:style>
  <w:style w:type="paragraph" w:styleId="Listeafsnit">
    <w:name w:val="List Paragraph"/>
    <w:basedOn w:val="Normal"/>
    <w:uiPriority w:val="34"/>
    <w:qFormat/>
    <w:rsid w:val="000617F9"/>
    <w:pPr>
      <w:ind w:left="720"/>
      <w:contextualSpacing/>
    </w:pPr>
  </w:style>
  <w:style w:type="paragraph" w:styleId="Opstilling-punkttegn">
    <w:name w:val="List Bullet"/>
    <w:basedOn w:val="Normal"/>
    <w:uiPriority w:val="99"/>
    <w:semiHidden/>
    <w:unhideWhenUsed/>
    <w:rsid w:val="000617F9"/>
    <w:pPr>
      <w:numPr>
        <w:numId w:val="1"/>
      </w:numPr>
      <w:contextualSpacing/>
    </w:pPr>
  </w:style>
  <w:style w:type="character" w:styleId="Hyperlink">
    <w:name w:val="Hyperlink"/>
    <w:basedOn w:val="Standardskrifttypeiafsnit"/>
    <w:uiPriority w:val="99"/>
    <w:unhideWhenUsed/>
    <w:rsid w:val="000617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302</Words>
  <Characters>1848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Kamilla Bjørnskov Madsen</cp:lastModifiedBy>
  <cp:revision>2</cp:revision>
  <cp:lastPrinted>2016-09-05T11:10:00Z</cp:lastPrinted>
  <dcterms:created xsi:type="dcterms:W3CDTF">2021-11-30T07:47:00Z</dcterms:created>
  <dcterms:modified xsi:type="dcterms:W3CDTF">2021-11-30T07:47:00Z</dcterms:modified>
</cp:coreProperties>
</file>