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17" w:rsidRDefault="008B4217" w:rsidP="008B4217">
      <w:pPr>
        <w:pStyle w:val="Titel"/>
      </w:pPr>
      <w:r>
        <w:t>Lektionsplan: Mindretal</w:t>
      </w:r>
    </w:p>
    <w:tbl>
      <w:tblPr>
        <w:tblStyle w:val="Tabel-Gitter"/>
        <w:tblW w:w="15452" w:type="dxa"/>
        <w:tblInd w:w="-743" w:type="dxa"/>
        <w:tblLook w:val="04A0" w:firstRow="1" w:lastRow="0" w:firstColumn="1" w:lastColumn="0" w:noHBand="0" w:noVBand="1"/>
      </w:tblPr>
      <w:tblGrid>
        <w:gridCol w:w="1135"/>
        <w:gridCol w:w="2561"/>
        <w:gridCol w:w="2693"/>
        <w:gridCol w:w="2549"/>
        <w:gridCol w:w="3537"/>
        <w:gridCol w:w="2977"/>
      </w:tblGrid>
      <w:tr w:rsidR="008B4217" w:rsidTr="006114EE">
        <w:tc>
          <w:tcPr>
            <w:tcW w:w="15452" w:type="dxa"/>
            <w:gridSpan w:val="6"/>
          </w:tcPr>
          <w:p w:rsidR="008B4217" w:rsidRPr="00A01171" w:rsidRDefault="008B4217" w:rsidP="006114EE">
            <w:pPr>
              <w:jc w:val="center"/>
              <w:rPr>
                <w:b/>
                <w:sz w:val="32"/>
                <w:szCs w:val="32"/>
              </w:rPr>
            </w:pPr>
            <w:r>
              <w:rPr>
                <w:b/>
                <w:sz w:val="32"/>
                <w:szCs w:val="32"/>
              </w:rPr>
              <w:t>Lektionsplan</w:t>
            </w:r>
          </w:p>
        </w:tc>
      </w:tr>
      <w:tr w:rsidR="008B4217" w:rsidTr="006114EE">
        <w:tc>
          <w:tcPr>
            <w:tcW w:w="1135" w:type="dxa"/>
          </w:tcPr>
          <w:p w:rsidR="008B4217" w:rsidRPr="00A01171" w:rsidRDefault="008B4217" w:rsidP="006114EE">
            <w:pPr>
              <w:rPr>
                <w:sz w:val="16"/>
                <w:szCs w:val="16"/>
              </w:rPr>
            </w:pPr>
            <w:r w:rsidRPr="002B6723">
              <w:rPr>
                <w:b/>
                <w:sz w:val="24"/>
                <w:szCs w:val="24"/>
              </w:rPr>
              <w:t>Modul</w:t>
            </w:r>
          </w:p>
        </w:tc>
        <w:tc>
          <w:tcPr>
            <w:tcW w:w="2561" w:type="dxa"/>
          </w:tcPr>
          <w:p w:rsidR="008B4217" w:rsidRPr="00A01171" w:rsidRDefault="008B4217" w:rsidP="006114EE">
            <w:pPr>
              <w:rPr>
                <w:b/>
              </w:rPr>
            </w:pPr>
            <w:r w:rsidRPr="002B6723">
              <w:rPr>
                <w:b/>
                <w:sz w:val="24"/>
                <w:szCs w:val="24"/>
              </w:rPr>
              <w:t>Indholdsmæssigt fokus</w:t>
            </w:r>
          </w:p>
        </w:tc>
        <w:tc>
          <w:tcPr>
            <w:tcW w:w="2693" w:type="dxa"/>
          </w:tcPr>
          <w:p w:rsidR="008B4217" w:rsidRDefault="008B4217" w:rsidP="006114EE">
            <w:r w:rsidRPr="00E10F0D">
              <w:rPr>
                <w:b/>
                <w:sz w:val="24"/>
                <w:szCs w:val="24"/>
              </w:rPr>
              <w:t>Færdighedsmål</w:t>
            </w:r>
          </w:p>
        </w:tc>
        <w:tc>
          <w:tcPr>
            <w:tcW w:w="2549" w:type="dxa"/>
          </w:tcPr>
          <w:p w:rsidR="008B4217" w:rsidRDefault="008B4217" w:rsidP="006114EE">
            <w:r w:rsidRPr="00E10F0D">
              <w:rPr>
                <w:b/>
                <w:sz w:val="24"/>
                <w:szCs w:val="24"/>
              </w:rPr>
              <w:t>Læringsmål</w:t>
            </w:r>
          </w:p>
        </w:tc>
        <w:tc>
          <w:tcPr>
            <w:tcW w:w="3537" w:type="dxa"/>
          </w:tcPr>
          <w:p w:rsidR="008B4217" w:rsidRDefault="008B4217" w:rsidP="006114EE">
            <w:r>
              <w:rPr>
                <w:b/>
                <w:sz w:val="24"/>
                <w:szCs w:val="24"/>
              </w:rPr>
              <w:t>Undervisningsa</w:t>
            </w:r>
            <w:r w:rsidRPr="00E10F0D">
              <w:rPr>
                <w:b/>
                <w:sz w:val="24"/>
                <w:szCs w:val="24"/>
              </w:rPr>
              <w:t>ktivitet</w:t>
            </w:r>
          </w:p>
        </w:tc>
        <w:tc>
          <w:tcPr>
            <w:tcW w:w="2977" w:type="dxa"/>
          </w:tcPr>
          <w:p w:rsidR="008B4217" w:rsidRPr="001F0896" w:rsidRDefault="008B4217" w:rsidP="006114EE">
            <w:pPr>
              <w:rPr>
                <w:b/>
                <w:sz w:val="24"/>
                <w:szCs w:val="24"/>
              </w:rPr>
            </w:pPr>
            <w:r w:rsidRPr="001F0896">
              <w:rPr>
                <w:b/>
                <w:sz w:val="24"/>
                <w:szCs w:val="24"/>
              </w:rPr>
              <w:t>Tegn på læring</w:t>
            </w:r>
          </w:p>
          <w:p w:rsidR="008B4217" w:rsidRDefault="008B4217" w:rsidP="006114EE"/>
        </w:tc>
      </w:tr>
      <w:tr w:rsidR="008B4217" w:rsidTr="006114EE">
        <w:tc>
          <w:tcPr>
            <w:tcW w:w="1135" w:type="dxa"/>
          </w:tcPr>
          <w:p w:rsidR="008B4217" w:rsidRDefault="008B4217" w:rsidP="006114EE">
            <w:pPr>
              <w:rPr>
                <w:sz w:val="20"/>
              </w:rPr>
            </w:pPr>
            <w:r>
              <w:rPr>
                <w:sz w:val="20"/>
              </w:rPr>
              <w:t>1</w:t>
            </w:r>
          </w:p>
          <w:p w:rsidR="008B4217" w:rsidRPr="00A01171" w:rsidRDefault="008B4217" w:rsidP="006114EE">
            <w:pPr>
              <w:rPr>
                <w:sz w:val="20"/>
              </w:rPr>
            </w:pPr>
            <w:r>
              <w:rPr>
                <w:sz w:val="20"/>
              </w:rPr>
              <w:t>(1 lektion)</w:t>
            </w:r>
          </w:p>
        </w:tc>
        <w:tc>
          <w:tcPr>
            <w:tcW w:w="2561" w:type="dxa"/>
          </w:tcPr>
          <w:p w:rsidR="008B4217" w:rsidRPr="00A01171" w:rsidRDefault="008B4217" w:rsidP="006114EE">
            <w:pPr>
              <w:rPr>
                <w:sz w:val="20"/>
              </w:rPr>
            </w:pPr>
            <w:r>
              <w:rPr>
                <w:sz w:val="20"/>
              </w:rPr>
              <w:t>Forforståelse</w:t>
            </w:r>
          </w:p>
        </w:tc>
        <w:tc>
          <w:tcPr>
            <w:tcW w:w="2693" w:type="dxa"/>
          </w:tcPr>
          <w:p w:rsidR="008B4217" w:rsidRPr="00A30E2C" w:rsidRDefault="008B4217" w:rsidP="006114EE">
            <w:pPr>
              <w:rPr>
                <w:sz w:val="20"/>
                <w:szCs w:val="20"/>
              </w:rPr>
            </w:pPr>
            <w:r w:rsidRPr="00A30E2C">
              <w:rPr>
                <w:sz w:val="20"/>
                <w:szCs w:val="20"/>
              </w:rPr>
              <w:t>Eleven kan bruge kanonpunkter til at skabe historisk overblik og sammenhængsforståelse</w:t>
            </w:r>
          </w:p>
          <w:p w:rsidR="008B4217" w:rsidRPr="00A01171" w:rsidRDefault="008B4217" w:rsidP="006114EE">
            <w:pPr>
              <w:rPr>
                <w:sz w:val="20"/>
              </w:rPr>
            </w:pPr>
          </w:p>
        </w:tc>
        <w:tc>
          <w:tcPr>
            <w:tcW w:w="2549" w:type="dxa"/>
          </w:tcPr>
          <w:p w:rsidR="008B4217" w:rsidRDefault="008B4217" w:rsidP="006114EE">
            <w:pPr>
              <w:rPr>
                <w:sz w:val="20"/>
              </w:rPr>
            </w:pPr>
            <w:r>
              <w:rPr>
                <w:sz w:val="20"/>
              </w:rPr>
              <w:t>Eleven kan</w:t>
            </w:r>
          </w:p>
          <w:p w:rsidR="008B4217" w:rsidRPr="00A01171" w:rsidRDefault="008B4217" w:rsidP="008B4217">
            <w:pPr>
              <w:pStyle w:val="Listeafsnit"/>
              <w:numPr>
                <w:ilvl w:val="0"/>
                <w:numId w:val="1"/>
              </w:numPr>
              <w:ind w:left="176" w:hanging="176"/>
              <w:rPr>
                <w:sz w:val="20"/>
              </w:rPr>
            </w:pPr>
            <w:r w:rsidRPr="00CB77F2">
              <w:rPr>
                <w:sz w:val="20"/>
                <w:szCs w:val="20"/>
              </w:rPr>
              <w:t>redegøre for kanonpunktet ”</w:t>
            </w:r>
            <w:r>
              <w:rPr>
                <w:sz w:val="20"/>
                <w:szCs w:val="20"/>
              </w:rPr>
              <w:t>Slaget ved Dybbøl og Genforeningen</w:t>
            </w:r>
            <w:r w:rsidRPr="00CB77F2">
              <w:rPr>
                <w:sz w:val="20"/>
                <w:szCs w:val="20"/>
              </w:rPr>
              <w:t>” i forhold til forudsætninger, forløb og følger</w:t>
            </w:r>
          </w:p>
        </w:tc>
        <w:tc>
          <w:tcPr>
            <w:tcW w:w="3537" w:type="dxa"/>
          </w:tcPr>
          <w:p w:rsidR="008B4217" w:rsidRPr="00CB77F2" w:rsidRDefault="008B4217" w:rsidP="008B4217">
            <w:pPr>
              <w:pStyle w:val="Listeafsnit"/>
              <w:numPr>
                <w:ilvl w:val="0"/>
                <w:numId w:val="1"/>
              </w:numPr>
              <w:ind w:left="169" w:hanging="169"/>
              <w:rPr>
                <w:sz w:val="20"/>
                <w:szCs w:val="20"/>
              </w:rPr>
            </w:pPr>
            <w:r w:rsidRPr="00CB77F2">
              <w:rPr>
                <w:sz w:val="20"/>
                <w:szCs w:val="20"/>
              </w:rPr>
              <w:t xml:space="preserve">Eleverne ser kanonfilmen </w:t>
            </w:r>
            <w:r>
              <w:rPr>
                <w:sz w:val="20"/>
                <w:szCs w:val="20"/>
              </w:rPr>
              <w:t>”Slaget ved Dybbøl” og ”Genforeningen</w:t>
            </w:r>
            <w:r w:rsidRPr="00CB77F2">
              <w:rPr>
                <w:sz w:val="20"/>
                <w:szCs w:val="20"/>
              </w:rPr>
              <w:t>” på historiekanon.com.</w:t>
            </w:r>
          </w:p>
          <w:p w:rsidR="008B4217" w:rsidRPr="00CB77F2" w:rsidRDefault="008B4217" w:rsidP="008B4217">
            <w:pPr>
              <w:pStyle w:val="Listeafsnit"/>
              <w:numPr>
                <w:ilvl w:val="0"/>
                <w:numId w:val="1"/>
              </w:numPr>
              <w:ind w:left="169" w:hanging="169"/>
              <w:rPr>
                <w:sz w:val="20"/>
                <w:szCs w:val="20"/>
              </w:rPr>
            </w:pPr>
            <w:r w:rsidRPr="00CB77F2">
              <w:rPr>
                <w:sz w:val="20"/>
                <w:szCs w:val="20"/>
              </w:rPr>
              <w:t>Eleverne præsenteres for forløbets problemstillinger og læringsmål.</w:t>
            </w:r>
          </w:p>
          <w:p w:rsidR="008B4217" w:rsidRPr="00CB77F2" w:rsidRDefault="008B4217" w:rsidP="008B4217">
            <w:pPr>
              <w:pStyle w:val="Listeafsnit"/>
              <w:numPr>
                <w:ilvl w:val="0"/>
                <w:numId w:val="1"/>
              </w:numPr>
              <w:ind w:left="169" w:hanging="169"/>
              <w:rPr>
                <w:sz w:val="20"/>
                <w:szCs w:val="20"/>
              </w:rPr>
            </w:pPr>
            <w:r>
              <w:rPr>
                <w:sz w:val="20"/>
                <w:szCs w:val="20"/>
              </w:rPr>
              <w:t>Eleverne læser elevteksten om ”Slaget ved Dybbøl” og ”Genforeningen</w:t>
            </w:r>
            <w:r w:rsidRPr="00CB77F2">
              <w:rPr>
                <w:sz w:val="20"/>
                <w:szCs w:val="20"/>
              </w:rPr>
              <w:t>” på historiekanon.com.</w:t>
            </w:r>
          </w:p>
          <w:p w:rsidR="008B4217" w:rsidRPr="00E51CD4" w:rsidRDefault="008B4217" w:rsidP="008B4217">
            <w:pPr>
              <w:pStyle w:val="Listeafsnit"/>
              <w:numPr>
                <w:ilvl w:val="0"/>
                <w:numId w:val="1"/>
              </w:numPr>
              <w:ind w:left="176" w:hanging="176"/>
              <w:rPr>
                <w:sz w:val="20"/>
              </w:rPr>
            </w:pPr>
            <w:r w:rsidRPr="00CB77F2">
              <w:rPr>
                <w:sz w:val="20"/>
                <w:szCs w:val="20"/>
              </w:rPr>
              <w:t>Eleverne skriver en kort tekst, hvor de opsummerer, hvad de ved om kanonpunktet</w:t>
            </w:r>
            <w:r>
              <w:rPr>
                <w:sz w:val="20"/>
                <w:szCs w:val="20"/>
              </w:rPr>
              <w:t xml:space="preserve"> ”Slaget ved Dybbøl” og ”Genforeningen”</w:t>
            </w:r>
            <w:r w:rsidRPr="00CB77F2">
              <w:rPr>
                <w:sz w:val="20"/>
                <w:szCs w:val="20"/>
              </w:rPr>
              <w:t xml:space="preserve"> i forhold til forudsætninger, forløb og følger.</w:t>
            </w:r>
          </w:p>
        </w:tc>
        <w:tc>
          <w:tcPr>
            <w:tcW w:w="2977" w:type="dxa"/>
          </w:tcPr>
          <w:p w:rsidR="008B4217" w:rsidRPr="00A01171" w:rsidRDefault="008B4217" w:rsidP="006114EE">
            <w:pPr>
              <w:pStyle w:val="Tabel-opstilling-punkttegn"/>
            </w:pPr>
          </w:p>
        </w:tc>
      </w:tr>
      <w:tr w:rsidR="008B4217" w:rsidTr="006114EE">
        <w:tc>
          <w:tcPr>
            <w:tcW w:w="1135" w:type="dxa"/>
          </w:tcPr>
          <w:p w:rsidR="008B4217" w:rsidRDefault="008B4217" w:rsidP="006114EE">
            <w:pPr>
              <w:rPr>
                <w:sz w:val="20"/>
              </w:rPr>
            </w:pPr>
            <w:r>
              <w:rPr>
                <w:sz w:val="20"/>
              </w:rPr>
              <w:t>2</w:t>
            </w:r>
          </w:p>
          <w:p w:rsidR="008B4217" w:rsidRPr="00A01171" w:rsidRDefault="008B4217" w:rsidP="006114EE">
            <w:pPr>
              <w:rPr>
                <w:sz w:val="20"/>
              </w:rPr>
            </w:pPr>
            <w:r>
              <w:rPr>
                <w:sz w:val="20"/>
              </w:rPr>
              <w:t>(1½ lektion)</w:t>
            </w:r>
          </w:p>
        </w:tc>
        <w:tc>
          <w:tcPr>
            <w:tcW w:w="2561" w:type="dxa"/>
          </w:tcPr>
          <w:p w:rsidR="008B4217" w:rsidRPr="00C726E2" w:rsidRDefault="008B4217" w:rsidP="006114EE">
            <w:pPr>
              <w:rPr>
                <w:sz w:val="20"/>
              </w:rPr>
            </w:pPr>
            <w:r>
              <w:rPr>
                <w:sz w:val="20"/>
              </w:rPr>
              <w:t>Kulturelle forskelle</w:t>
            </w:r>
          </w:p>
        </w:tc>
        <w:tc>
          <w:tcPr>
            <w:tcW w:w="2693" w:type="dxa"/>
          </w:tcPr>
          <w:p w:rsidR="008B4217" w:rsidRPr="002837F4" w:rsidRDefault="008B4217" w:rsidP="006114EE">
            <w:pPr>
              <w:rPr>
                <w:sz w:val="20"/>
                <w:szCs w:val="20"/>
              </w:rPr>
            </w:pPr>
            <w:r w:rsidRPr="002837F4">
              <w:rPr>
                <w:sz w:val="20"/>
                <w:szCs w:val="20"/>
              </w:rPr>
              <w:t>Eleven kan diskutere kulturs betydning for individer og grupper</w:t>
            </w:r>
          </w:p>
          <w:p w:rsidR="008B4217" w:rsidRPr="002837F4" w:rsidRDefault="008B4217" w:rsidP="006114EE">
            <w:pPr>
              <w:rPr>
                <w:sz w:val="20"/>
                <w:szCs w:val="20"/>
              </w:rPr>
            </w:pPr>
          </w:p>
        </w:tc>
        <w:tc>
          <w:tcPr>
            <w:tcW w:w="2549" w:type="dxa"/>
          </w:tcPr>
          <w:p w:rsidR="008B4217" w:rsidRPr="002477C8" w:rsidRDefault="008B4217" w:rsidP="006114EE">
            <w:pPr>
              <w:rPr>
                <w:sz w:val="20"/>
              </w:rPr>
            </w:pPr>
            <w:r w:rsidRPr="002477C8">
              <w:rPr>
                <w:sz w:val="20"/>
              </w:rPr>
              <w:t>Eleven kan</w:t>
            </w:r>
          </w:p>
          <w:p w:rsidR="008B4217" w:rsidRPr="00A01171" w:rsidRDefault="008B4217" w:rsidP="008B4217">
            <w:pPr>
              <w:pStyle w:val="Listeafsnit"/>
              <w:numPr>
                <w:ilvl w:val="0"/>
                <w:numId w:val="1"/>
              </w:numPr>
              <w:ind w:left="176" w:hanging="176"/>
              <w:rPr>
                <w:sz w:val="20"/>
              </w:rPr>
            </w:pPr>
            <w:r>
              <w:rPr>
                <w:sz w:val="20"/>
              </w:rPr>
              <w:t>identificere kulturelle forskelle</w:t>
            </w:r>
          </w:p>
        </w:tc>
        <w:tc>
          <w:tcPr>
            <w:tcW w:w="3537" w:type="dxa"/>
          </w:tcPr>
          <w:p w:rsidR="008B4217" w:rsidRDefault="008B4217" w:rsidP="008B4217">
            <w:pPr>
              <w:pStyle w:val="Listeafsnit"/>
              <w:numPr>
                <w:ilvl w:val="0"/>
                <w:numId w:val="3"/>
              </w:numPr>
              <w:ind w:left="176" w:hanging="176"/>
              <w:rPr>
                <w:sz w:val="20"/>
              </w:rPr>
            </w:pPr>
            <w:r>
              <w:rPr>
                <w:sz w:val="20"/>
              </w:rPr>
              <w:t>Eleverne ser ”Gintberg på kanten – Sydslesvig”</w:t>
            </w:r>
          </w:p>
          <w:p w:rsidR="008B4217" w:rsidRDefault="008B4217" w:rsidP="008B4217">
            <w:pPr>
              <w:pStyle w:val="Listeafsnit"/>
              <w:numPr>
                <w:ilvl w:val="0"/>
                <w:numId w:val="3"/>
              </w:numPr>
              <w:ind w:left="176" w:hanging="176"/>
              <w:rPr>
                <w:sz w:val="20"/>
              </w:rPr>
            </w:pPr>
            <w:r>
              <w:rPr>
                <w:sz w:val="20"/>
              </w:rPr>
              <w:t xml:space="preserve">Eleverne noterer forskelle på dansk og tysk kultur, mens de ser filmen. </w:t>
            </w:r>
          </w:p>
          <w:p w:rsidR="008B4217" w:rsidRPr="00DA610F" w:rsidRDefault="008B4217" w:rsidP="008B4217">
            <w:pPr>
              <w:pStyle w:val="Listeafsnit"/>
              <w:numPr>
                <w:ilvl w:val="0"/>
                <w:numId w:val="3"/>
              </w:numPr>
              <w:ind w:left="176" w:hanging="176"/>
              <w:rPr>
                <w:sz w:val="20"/>
              </w:rPr>
            </w:pPr>
            <w:r>
              <w:rPr>
                <w:sz w:val="20"/>
              </w:rPr>
              <w:t>Forskellene drøftes i fællesskab på klassen</w:t>
            </w:r>
          </w:p>
          <w:p w:rsidR="008B4217" w:rsidRPr="00880C87" w:rsidRDefault="008B4217" w:rsidP="008B4217">
            <w:pPr>
              <w:pStyle w:val="Listeafsnit"/>
              <w:numPr>
                <w:ilvl w:val="0"/>
                <w:numId w:val="3"/>
              </w:numPr>
              <w:ind w:left="176" w:hanging="176"/>
              <w:rPr>
                <w:sz w:val="20"/>
              </w:rPr>
            </w:pPr>
            <w:r>
              <w:rPr>
                <w:sz w:val="20"/>
              </w:rPr>
              <w:t>Eleverne giver bud på kulturs betydning for individer og grupper</w:t>
            </w:r>
          </w:p>
        </w:tc>
        <w:tc>
          <w:tcPr>
            <w:tcW w:w="2977" w:type="dxa"/>
          </w:tcPr>
          <w:p w:rsidR="008B4217" w:rsidRPr="00A01171" w:rsidRDefault="008B4217" w:rsidP="006114EE">
            <w:pPr>
              <w:rPr>
                <w:sz w:val="20"/>
              </w:rPr>
            </w:pPr>
          </w:p>
        </w:tc>
      </w:tr>
      <w:tr w:rsidR="008B4217" w:rsidTr="006114EE">
        <w:tc>
          <w:tcPr>
            <w:tcW w:w="1135" w:type="dxa"/>
          </w:tcPr>
          <w:p w:rsidR="008B4217" w:rsidRDefault="008B4217" w:rsidP="006114EE">
            <w:pPr>
              <w:rPr>
                <w:sz w:val="20"/>
              </w:rPr>
            </w:pPr>
            <w:r>
              <w:rPr>
                <w:sz w:val="20"/>
              </w:rPr>
              <w:t>3</w:t>
            </w:r>
          </w:p>
          <w:p w:rsidR="008B4217" w:rsidRPr="00A01171" w:rsidRDefault="008B4217" w:rsidP="006114EE">
            <w:pPr>
              <w:rPr>
                <w:sz w:val="20"/>
              </w:rPr>
            </w:pPr>
            <w:r>
              <w:rPr>
                <w:sz w:val="20"/>
              </w:rPr>
              <w:t>(1 ½ lektion)</w:t>
            </w:r>
          </w:p>
        </w:tc>
        <w:tc>
          <w:tcPr>
            <w:tcW w:w="2561" w:type="dxa"/>
          </w:tcPr>
          <w:p w:rsidR="008B4217" w:rsidRPr="00A01171" w:rsidRDefault="008B4217" w:rsidP="006114EE">
            <w:pPr>
              <w:rPr>
                <w:sz w:val="20"/>
              </w:rPr>
            </w:pPr>
            <w:r>
              <w:rPr>
                <w:sz w:val="20"/>
              </w:rPr>
              <w:t>Danmark under forandring</w:t>
            </w:r>
          </w:p>
        </w:tc>
        <w:tc>
          <w:tcPr>
            <w:tcW w:w="2693" w:type="dxa"/>
          </w:tcPr>
          <w:p w:rsidR="008B4217" w:rsidRPr="002837F4" w:rsidRDefault="008B4217" w:rsidP="006114EE">
            <w:pPr>
              <w:rPr>
                <w:sz w:val="20"/>
                <w:szCs w:val="20"/>
              </w:rPr>
            </w:pPr>
            <w:r w:rsidRPr="002837F4">
              <w:rPr>
                <w:sz w:val="20"/>
                <w:szCs w:val="20"/>
              </w:rPr>
              <w:t>Eleven kan bruge kanonpunkter til at skabe historisk overblik og sammenhængsforståelse</w:t>
            </w:r>
          </w:p>
          <w:p w:rsidR="008B4217" w:rsidRPr="002837F4" w:rsidRDefault="008B4217" w:rsidP="006114EE">
            <w:pPr>
              <w:rPr>
                <w:sz w:val="20"/>
                <w:szCs w:val="20"/>
              </w:rPr>
            </w:pPr>
          </w:p>
          <w:p w:rsidR="008B4217" w:rsidRPr="002837F4" w:rsidRDefault="008B4217" w:rsidP="006114EE">
            <w:pPr>
              <w:rPr>
                <w:sz w:val="20"/>
                <w:szCs w:val="20"/>
              </w:rPr>
            </w:pPr>
            <w:r w:rsidRPr="002837F4">
              <w:rPr>
                <w:sz w:val="20"/>
                <w:szCs w:val="20"/>
              </w:rPr>
              <w:t>Eleven kan forklare historiske forandringers påvirkning af samfund lokalt, regionalt og globalt</w:t>
            </w:r>
          </w:p>
          <w:p w:rsidR="008B4217" w:rsidRPr="002837F4" w:rsidRDefault="008B4217" w:rsidP="006114EE">
            <w:pPr>
              <w:rPr>
                <w:sz w:val="20"/>
                <w:szCs w:val="20"/>
              </w:rPr>
            </w:pPr>
          </w:p>
        </w:tc>
        <w:tc>
          <w:tcPr>
            <w:tcW w:w="2549" w:type="dxa"/>
          </w:tcPr>
          <w:p w:rsidR="008B4217" w:rsidRPr="002477C8" w:rsidRDefault="008B4217" w:rsidP="006114EE">
            <w:pPr>
              <w:rPr>
                <w:sz w:val="20"/>
              </w:rPr>
            </w:pPr>
            <w:r w:rsidRPr="002477C8">
              <w:rPr>
                <w:sz w:val="20"/>
              </w:rPr>
              <w:t>Eleven kan</w:t>
            </w:r>
          </w:p>
          <w:p w:rsidR="008B4217" w:rsidRDefault="008B4217" w:rsidP="008B4217">
            <w:pPr>
              <w:pStyle w:val="Listeafsnit"/>
              <w:numPr>
                <w:ilvl w:val="0"/>
                <w:numId w:val="1"/>
              </w:numPr>
              <w:ind w:left="176" w:hanging="176"/>
              <w:rPr>
                <w:sz w:val="20"/>
              </w:rPr>
            </w:pPr>
            <w:r>
              <w:rPr>
                <w:sz w:val="20"/>
              </w:rPr>
              <w:t>gengive danmarkskort før og efter 1864 og efter 1920</w:t>
            </w:r>
          </w:p>
          <w:p w:rsidR="008B4217" w:rsidRPr="00A01171" w:rsidRDefault="008B4217" w:rsidP="008B4217">
            <w:pPr>
              <w:pStyle w:val="Listeafsnit"/>
              <w:numPr>
                <w:ilvl w:val="0"/>
                <w:numId w:val="1"/>
              </w:numPr>
              <w:ind w:left="176" w:hanging="176"/>
              <w:rPr>
                <w:sz w:val="20"/>
              </w:rPr>
            </w:pPr>
            <w:r>
              <w:rPr>
                <w:sz w:val="20"/>
              </w:rPr>
              <w:t>forklare, hvorfor danmarkskortet ændrer sig i 1864 og i 1920</w:t>
            </w:r>
          </w:p>
        </w:tc>
        <w:tc>
          <w:tcPr>
            <w:tcW w:w="3537" w:type="dxa"/>
          </w:tcPr>
          <w:p w:rsidR="008B4217" w:rsidRDefault="008B4217" w:rsidP="008B4217">
            <w:pPr>
              <w:pStyle w:val="Listeafsnit"/>
              <w:numPr>
                <w:ilvl w:val="0"/>
                <w:numId w:val="1"/>
              </w:numPr>
              <w:ind w:left="169" w:hanging="169"/>
              <w:rPr>
                <w:sz w:val="20"/>
              </w:rPr>
            </w:pPr>
            <w:r w:rsidRPr="007458F7">
              <w:rPr>
                <w:sz w:val="20"/>
              </w:rPr>
              <w:t>Eleverne ser ”Den sorte skole: Genforeningen”</w:t>
            </w:r>
          </w:p>
          <w:p w:rsidR="008B4217" w:rsidRDefault="008B4217" w:rsidP="008B4217">
            <w:pPr>
              <w:pStyle w:val="Listeafsnit"/>
              <w:numPr>
                <w:ilvl w:val="0"/>
                <w:numId w:val="1"/>
              </w:numPr>
              <w:ind w:left="169" w:hanging="169"/>
              <w:rPr>
                <w:sz w:val="20"/>
              </w:rPr>
            </w:pPr>
            <w:r>
              <w:rPr>
                <w:sz w:val="20"/>
              </w:rPr>
              <w:t>L</w:t>
            </w:r>
            <w:r w:rsidRPr="007458F7">
              <w:rPr>
                <w:sz w:val="20"/>
              </w:rPr>
              <w:t>æreren laver en gennemgang af de centrale begivenheder</w:t>
            </w:r>
            <w:r>
              <w:rPr>
                <w:sz w:val="20"/>
              </w:rPr>
              <w:t xml:space="preserve"> med fokus på D</w:t>
            </w:r>
            <w:r w:rsidRPr="007458F7">
              <w:rPr>
                <w:sz w:val="20"/>
              </w:rPr>
              <w:t xml:space="preserve">e </w:t>
            </w:r>
            <w:r>
              <w:rPr>
                <w:sz w:val="20"/>
              </w:rPr>
              <w:t>Slesvigske K</w:t>
            </w:r>
            <w:r w:rsidRPr="007458F7">
              <w:rPr>
                <w:sz w:val="20"/>
              </w:rPr>
              <w:t>rige og konsekvenserne deraf</w:t>
            </w:r>
            <w:r>
              <w:rPr>
                <w:sz w:val="20"/>
              </w:rPr>
              <w:t xml:space="preserve"> (s</w:t>
            </w:r>
            <w:r w:rsidRPr="007458F7">
              <w:rPr>
                <w:sz w:val="20"/>
              </w:rPr>
              <w:t>e</w:t>
            </w:r>
            <w:r>
              <w:rPr>
                <w:sz w:val="20"/>
              </w:rPr>
              <w:t xml:space="preserve"> ”</w:t>
            </w:r>
            <w:r w:rsidRPr="007458F7">
              <w:rPr>
                <w:sz w:val="20"/>
              </w:rPr>
              <w:t>øvrige</w:t>
            </w:r>
            <w:r>
              <w:rPr>
                <w:sz w:val="20"/>
              </w:rPr>
              <w:t xml:space="preserve"> gode råd og kommentar”).</w:t>
            </w:r>
          </w:p>
          <w:p w:rsidR="008B4217" w:rsidRPr="007458F7" w:rsidRDefault="008B4217" w:rsidP="008B4217">
            <w:pPr>
              <w:pStyle w:val="Listeafsnit"/>
              <w:numPr>
                <w:ilvl w:val="0"/>
                <w:numId w:val="1"/>
              </w:numPr>
              <w:ind w:left="169" w:hanging="169"/>
              <w:rPr>
                <w:sz w:val="20"/>
              </w:rPr>
            </w:pPr>
            <w:r w:rsidRPr="007458F7">
              <w:rPr>
                <w:sz w:val="20"/>
              </w:rPr>
              <w:t xml:space="preserve">Eleverne undersøger hvordan Danmark så ud før 1864, efter 1864 og efter 1920 og tegner dette ved at </w:t>
            </w:r>
            <w:r w:rsidRPr="007458F7">
              <w:rPr>
                <w:sz w:val="20"/>
              </w:rPr>
              <w:lastRenderedPageBreak/>
              <w:t>opdele et A3 ark i tre dele. De finder den nødvendige information</w:t>
            </w:r>
            <w:r>
              <w:rPr>
                <w:sz w:val="20"/>
              </w:rPr>
              <w:t xml:space="preserve"> ved at søge på billeder fx på Google. På</w:t>
            </w:r>
            <w:r w:rsidRPr="007458F7">
              <w:rPr>
                <w:sz w:val="20"/>
              </w:rPr>
              <w:t xml:space="preserve"> kortene til </w:t>
            </w:r>
            <w:r>
              <w:rPr>
                <w:sz w:val="20"/>
              </w:rPr>
              <w:t>”</w:t>
            </w:r>
            <w:r w:rsidRPr="007458F7">
              <w:rPr>
                <w:sz w:val="20"/>
              </w:rPr>
              <w:t>efter 1864</w:t>
            </w:r>
            <w:r>
              <w:rPr>
                <w:sz w:val="20"/>
              </w:rPr>
              <w:t>”</w:t>
            </w:r>
            <w:r w:rsidRPr="007458F7">
              <w:rPr>
                <w:sz w:val="20"/>
              </w:rPr>
              <w:t xml:space="preserve"> og </w:t>
            </w:r>
            <w:r>
              <w:rPr>
                <w:sz w:val="20"/>
              </w:rPr>
              <w:t>”</w:t>
            </w:r>
            <w:r w:rsidRPr="007458F7">
              <w:rPr>
                <w:sz w:val="20"/>
              </w:rPr>
              <w:t>efter 1920</w:t>
            </w:r>
            <w:r>
              <w:rPr>
                <w:sz w:val="20"/>
              </w:rPr>
              <w:t>”</w:t>
            </w:r>
            <w:r w:rsidRPr="007458F7">
              <w:rPr>
                <w:sz w:val="20"/>
              </w:rPr>
              <w:t xml:space="preserve"> skal der angives, hvorfor danmarkskortet kommer til at se anderledes ud</w:t>
            </w:r>
            <w:r>
              <w:rPr>
                <w:sz w:val="20"/>
              </w:rPr>
              <w:t>. Eleverne inddrager den viden, de har fået i modulet.</w:t>
            </w:r>
          </w:p>
        </w:tc>
        <w:tc>
          <w:tcPr>
            <w:tcW w:w="2977" w:type="dxa"/>
          </w:tcPr>
          <w:p w:rsidR="008B4217" w:rsidRPr="00A01171" w:rsidRDefault="008B4217" w:rsidP="006114EE">
            <w:pPr>
              <w:rPr>
                <w:sz w:val="20"/>
              </w:rPr>
            </w:pPr>
          </w:p>
        </w:tc>
      </w:tr>
      <w:tr w:rsidR="008B4217" w:rsidTr="006114EE">
        <w:tc>
          <w:tcPr>
            <w:tcW w:w="1135" w:type="dxa"/>
          </w:tcPr>
          <w:p w:rsidR="008B4217" w:rsidRDefault="008B4217" w:rsidP="006114EE">
            <w:pPr>
              <w:rPr>
                <w:sz w:val="20"/>
              </w:rPr>
            </w:pPr>
            <w:r>
              <w:rPr>
                <w:sz w:val="20"/>
              </w:rPr>
              <w:lastRenderedPageBreak/>
              <w:t>4</w:t>
            </w:r>
          </w:p>
          <w:p w:rsidR="008B4217" w:rsidRPr="00A01171" w:rsidRDefault="008B4217" w:rsidP="006114EE">
            <w:pPr>
              <w:rPr>
                <w:sz w:val="20"/>
              </w:rPr>
            </w:pPr>
            <w:r>
              <w:rPr>
                <w:sz w:val="20"/>
              </w:rPr>
              <w:t>(4 lektioner)</w:t>
            </w:r>
          </w:p>
        </w:tc>
        <w:tc>
          <w:tcPr>
            <w:tcW w:w="2561" w:type="dxa"/>
          </w:tcPr>
          <w:p w:rsidR="008B4217" w:rsidRPr="00A01171" w:rsidRDefault="008B4217" w:rsidP="006114EE">
            <w:pPr>
              <w:rPr>
                <w:sz w:val="20"/>
              </w:rPr>
            </w:pPr>
            <w:r>
              <w:rPr>
                <w:sz w:val="20"/>
              </w:rPr>
              <w:t>Udvikling af mindretallet</w:t>
            </w:r>
          </w:p>
        </w:tc>
        <w:tc>
          <w:tcPr>
            <w:tcW w:w="2693" w:type="dxa"/>
          </w:tcPr>
          <w:p w:rsidR="008B4217" w:rsidRPr="002837F4" w:rsidRDefault="008B4217" w:rsidP="006114EE">
            <w:pPr>
              <w:rPr>
                <w:sz w:val="20"/>
                <w:szCs w:val="20"/>
              </w:rPr>
            </w:pPr>
            <w:r w:rsidRPr="002837F4">
              <w:rPr>
                <w:sz w:val="20"/>
                <w:szCs w:val="20"/>
              </w:rPr>
              <w:t>Eleven kan diskutere kulturs betydning for individer og grupper</w:t>
            </w:r>
          </w:p>
          <w:p w:rsidR="008B4217" w:rsidRPr="002837F4" w:rsidRDefault="008B4217" w:rsidP="006114EE">
            <w:pPr>
              <w:rPr>
                <w:sz w:val="20"/>
                <w:szCs w:val="20"/>
              </w:rPr>
            </w:pPr>
          </w:p>
        </w:tc>
        <w:tc>
          <w:tcPr>
            <w:tcW w:w="2549" w:type="dxa"/>
          </w:tcPr>
          <w:p w:rsidR="008B4217" w:rsidRPr="002477C8" w:rsidRDefault="008B4217" w:rsidP="006114EE">
            <w:pPr>
              <w:rPr>
                <w:sz w:val="20"/>
              </w:rPr>
            </w:pPr>
            <w:r w:rsidRPr="002477C8">
              <w:rPr>
                <w:sz w:val="20"/>
              </w:rPr>
              <w:t>Eleven kan</w:t>
            </w:r>
          </w:p>
          <w:p w:rsidR="008B4217" w:rsidRDefault="008B4217" w:rsidP="008B4217">
            <w:pPr>
              <w:pStyle w:val="Listeafsnit"/>
              <w:numPr>
                <w:ilvl w:val="0"/>
                <w:numId w:val="1"/>
              </w:numPr>
              <w:ind w:left="176" w:hanging="176"/>
              <w:rPr>
                <w:sz w:val="20"/>
              </w:rPr>
            </w:pPr>
            <w:r>
              <w:rPr>
                <w:sz w:val="20"/>
              </w:rPr>
              <w:t>svare på spørgsmål vedrørende mindretallet i Slesvig</w:t>
            </w:r>
          </w:p>
          <w:p w:rsidR="008B4217" w:rsidRPr="00A01171" w:rsidRDefault="008B4217" w:rsidP="008B4217">
            <w:pPr>
              <w:pStyle w:val="Listeafsnit"/>
              <w:numPr>
                <w:ilvl w:val="0"/>
                <w:numId w:val="1"/>
              </w:numPr>
              <w:ind w:left="176" w:hanging="176"/>
              <w:rPr>
                <w:sz w:val="20"/>
              </w:rPr>
            </w:pPr>
            <w:r>
              <w:rPr>
                <w:sz w:val="20"/>
              </w:rPr>
              <w:t>udarbejde problemstillinger i forhold til mindretallet i Slesvig</w:t>
            </w:r>
          </w:p>
        </w:tc>
        <w:tc>
          <w:tcPr>
            <w:tcW w:w="3537" w:type="dxa"/>
          </w:tcPr>
          <w:p w:rsidR="008B4217" w:rsidRPr="008071F1" w:rsidRDefault="008B4217" w:rsidP="008B4217">
            <w:pPr>
              <w:pStyle w:val="Listeafsnit"/>
              <w:numPr>
                <w:ilvl w:val="0"/>
                <w:numId w:val="2"/>
              </w:numPr>
              <w:ind w:left="169" w:hanging="169"/>
              <w:rPr>
                <w:sz w:val="20"/>
              </w:rPr>
            </w:pPr>
            <w:r>
              <w:rPr>
                <w:sz w:val="20"/>
              </w:rPr>
              <w:t xml:space="preserve">Eleverne arbejder på </w:t>
            </w:r>
            <w:hyperlink r:id="rId6" w:history="1">
              <w:r w:rsidRPr="00B9328D">
                <w:rPr>
                  <w:rStyle w:val="Hyperlink"/>
                  <w:sz w:val="20"/>
                </w:rPr>
                <w:t>www.historiekanon.dk</w:t>
              </w:r>
            </w:hyperlink>
            <w:r>
              <w:rPr>
                <w:sz w:val="20"/>
              </w:rPr>
              <w:t xml:space="preserve"> (bilag 1)</w:t>
            </w:r>
          </w:p>
        </w:tc>
        <w:tc>
          <w:tcPr>
            <w:tcW w:w="2977" w:type="dxa"/>
          </w:tcPr>
          <w:p w:rsidR="008B4217" w:rsidRPr="00A01171" w:rsidRDefault="008B4217" w:rsidP="006114EE">
            <w:pPr>
              <w:rPr>
                <w:sz w:val="20"/>
              </w:rPr>
            </w:pPr>
          </w:p>
        </w:tc>
      </w:tr>
      <w:tr w:rsidR="008B4217" w:rsidTr="006114EE">
        <w:tc>
          <w:tcPr>
            <w:tcW w:w="1135" w:type="dxa"/>
          </w:tcPr>
          <w:p w:rsidR="008B4217" w:rsidRDefault="008B4217" w:rsidP="006114EE">
            <w:pPr>
              <w:rPr>
                <w:sz w:val="20"/>
              </w:rPr>
            </w:pPr>
            <w:r>
              <w:rPr>
                <w:sz w:val="20"/>
              </w:rPr>
              <w:t>5</w:t>
            </w:r>
          </w:p>
          <w:p w:rsidR="008B4217" w:rsidRDefault="008B4217" w:rsidP="006114EE">
            <w:pPr>
              <w:rPr>
                <w:sz w:val="20"/>
              </w:rPr>
            </w:pPr>
            <w:r>
              <w:rPr>
                <w:sz w:val="20"/>
              </w:rPr>
              <w:t>(3 lektioner)</w:t>
            </w:r>
          </w:p>
        </w:tc>
        <w:tc>
          <w:tcPr>
            <w:tcW w:w="2561" w:type="dxa"/>
          </w:tcPr>
          <w:p w:rsidR="008B4217" w:rsidRDefault="008B4217" w:rsidP="006114EE">
            <w:pPr>
              <w:rPr>
                <w:sz w:val="20"/>
              </w:rPr>
            </w:pPr>
          </w:p>
        </w:tc>
        <w:tc>
          <w:tcPr>
            <w:tcW w:w="2693" w:type="dxa"/>
          </w:tcPr>
          <w:p w:rsidR="008B4217" w:rsidRDefault="008B4217" w:rsidP="006114EE">
            <w:pPr>
              <w:rPr>
                <w:sz w:val="20"/>
                <w:szCs w:val="20"/>
              </w:rPr>
            </w:pPr>
            <w:r w:rsidRPr="00424AF3">
              <w:rPr>
                <w:sz w:val="20"/>
                <w:szCs w:val="20"/>
              </w:rPr>
              <w:t>Eleven kan udlede forklaringer på historiske forhold og forløb ud fra historiske scenarier</w:t>
            </w:r>
          </w:p>
          <w:p w:rsidR="008B4217" w:rsidRDefault="008B4217" w:rsidP="006114EE">
            <w:pPr>
              <w:rPr>
                <w:sz w:val="20"/>
                <w:szCs w:val="20"/>
              </w:rPr>
            </w:pPr>
          </w:p>
          <w:p w:rsidR="008B4217" w:rsidRPr="002837F4" w:rsidRDefault="008B4217" w:rsidP="006114EE">
            <w:pPr>
              <w:rPr>
                <w:sz w:val="20"/>
                <w:szCs w:val="20"/>
              </w:rPr>
            </w:pPr>
            <w:r w:rsidRPr="002837F4">
              <w:rPr>
                <w:sz w:val="20"/>
                <w:szCs w:val="20"/>
              </w:rPr>
              <w:t>Eleven kan diskutere kulturs betydning for individer og grupper</w:t>
            </w:r>
          </w:p>
          <w:p w:rsidR="008B4217" w:rsidRDefault="008B4217" w:rsidP="006114EE">
            <w:pPr>
              <w:rPr>
                <w:sz w:val="20"/>
                <w:szCs w:val="20"/>
              </w:rPr>
            </w:pPr>
          </w:p>
          <w:p w:rsidR="008B4217" w:rsidRPr="002837F4" w:rsidRDefault="008B4217" w:rsidP="006114EE">
            <w:pPr>
              <w:rPr>
                <w:sz w:val="20"/>
                <w:szCs w:val="20"/>
              </w:rPr>
            </w:pPr>
            <w:r w:rsidRPr="002837F4">
              <w:rPr>
                <w:sz w:val="20"/>
                <w:szCs w:val="20"/>
              </w:rPr>
              <w:t>Eleven kan forklare historiske forandringers påvirkning af samfund lokalt, regionalt og globalt</w:t>
            </w:r>
          </w:p>
          <w:p w:rsidR="008B4217" w:rsidRPr="002837F4" w:rsidRDefault="008B4217" w:rsidP="006114EE">
            <w:pPr>
              <w:rPr>
                <w:sz w:val="20"/>
                <w:szCs w:val="20"/>
              </w:rPr>
            </w:pPr>
          </w:p>
        </w:tc>
        <w:tc>
          <w:tcPr>
            <w:tcW w:w="2549" w:type="dxa"/>
          </w:tcPr>
          <w:p w:rsidR="008B4217" w:rsidRPr="002477C8" w:rsidRDefault="008B4217" w:rsidP="006114EE">
            <w:pPr>
              <w:rPr>
                <w:sz w:val="20"/>
              </w:rPr>
            </w:pPr>
            <w:r w:rsidRPr="002477C8">
              <w:rPr>
                <w:sz w:val="20"/>
              </w:rPr>
              <w:t>Eleven kan</w:t>
            </w:r>
          </w:p>
          <w:p w:rsidR="008B4217" w:rsidRDefault="008B4217" w:rsidP="008B4217">
            <w:pPr>
              <w:pStyle w:val="Listeafsnit"/>
              <w:numPr>
                <w:ilvl w:val="0"/>
                <w:numId w:val="1"/>
              </w:numPr>
              <w:ind w:left="176" w:hanging="176"/>
              <w:rPr>
                <w:sz w:val="20"/>
              </w:rPr>
            </w:pPr>
            <w:r>
              <w:rPr>
                <w:sz w:val="20"/>
              </w:rPr>
              <w:t>udarbejde problemstillinger</w:t>
            </w:r>
          </w:p>
          <w:p w:rsidR="008B4217" w:rsidRDefault="008B4217" w:rsidP="008B4217">
            <w:pPr>
              <w:pStyle w:val="Listeafsnit"/>
              <w:numPr>
                <w:ilvl w:val="0"/>
                <w:numId w:val="1"/>
              </w:numPr>
              <w:ind w:left="176" w:hanging="176"/>
              <w:rPr>
                <w:sz w:val="20"/>
              </w:rPr>
            </w:pPr>
            <w:r>
              <w:rPr>
                <w:sz w:val="20"/>
              </w:rPr>
              <w:t>identificere sig med mindretallet gennem rollespil</w:t>
            </w:r>
          </w:p>
          <w:p w:rsidR="008B4217" w:rsidRPr="00424AF3" w:rsidRDefault="008B4217" w:rsidP="008B4217">
            <w:pPr>
              <w:pStyle w:val="Listeafsnit"/>
              <w:numPr>
                <w:ilvl w:val="0"/>
                <w:numId w:val="1"/>
              </w:numPr>
              <w:ind w:left="176" w:hanging="176"/>
              <w:rPr>
                <w:sz w:val="20"/>
              </w:rPr>
            </w:pPr>
            <w:r>
              <w:rPr>
                <w:sz w:val="20"/>
              </w:rPr>
              <w:t xml:space="preserve">belyse problemstillinger vedrørende mindretallet </w:t>
            </w:r>
          </w:p>
        </w:tc>
        <w:tc>
          <w:tcPr>
            <w:tcW w:w="3537" w:type="dxa"/>
          </w:tcPr>
          <w:p w:rsidR="008B4217" w:rsidRDefault="008B4217" w:rsidP="008B4217">
            <w:pPr>
              <w:pStyle w:val="Listeafsnit"/>
              <w:numPr>
                <w:ilvl w:val="0"/>
                <w:numId w:val="2"/>
              </w:numPr>
              <w:ind w:left="176" w:hanging="176"/>
              <w:rPr>
                <w:sz w:val="20"/>
              </w:rPr>
            </w:pPr>
            <w:r>
              <w:rPr>
                <w:sz w:val="20"/>
              </w:rPr>
              <w:t>Eleverne skal nu på baggrund af deres viden om mindretal på begge sider af grænsen udarbejde en række problemstillinger. De starter med at gøre dette i mindre grupper á 3-4 elever og aktiviteten kan med fordel foregå som en ’</w:t>
            </w:r>
            <w:proofErr w:type="spellStart"/>
            <w:r>
              <w:rPr>
                <w:sz w:val="20"/>
              </w:rPr>
              <w:t>walk</w:t>
            </w:r>
            <w:proofErr w:type="spellEnd"/>
            <w:r>
              <w:rPr>
                <w:sz w:val="20"/>
              </w:rPr>
              <w:t xml:space="preserve"> and talk’. </w:t>
            </w:r>
          </w:p>
          <w:p w:rsidR="008B4217" w:rsidRDefault="008B4217" w:rsidP="008B4217">
            <w:pPr>
              <w:pStyle w:val="Listeafsnit"/>
              <w:numPr>
                <w:ilvl w:val="0"/>
                <w:numId w:val="2"/>
              </w:numPr>
              <w:ind w:left="176" w:hanging="176"/>
              <w:rPr>
                <w:sz w:val="20"/>
              </w:rPr>
            </w:pPr>
            <w:r>
              <w:rPr>
                <w:sz w:val="20"/>
              </w:rPr>
              <w:t>Eleverne deler deres problemstillinger med hinanden i fælles plenum, hvor læreren skriver deres problemstillinger ned på tavlen.</w:t>
            </w:r>
          </w:p>
          <w:p w:rsidR="008B4217" w:rsidRDefault="008B4217" w:rsidP="008B4217">
            <w:pPr>
              <w:pStyle w:val="Listeafsnit"/>
              <w:numPr>
                <w:ilvl w:val="0"/>
                <w:numId w:val="2"/>
              </w:numPr>
              <w:ind w:left="176" w:hanging="176"/>
              <w:rPr>
                <w:sz w:val="20"/>
              </w:rPr>
            </w:pPr>
            <w:r>
              <w:rPr>
                <w:sz w:val="20"/>
              </w:rPr>
              <w:t>Eleverne laver et rollespil, der tager udgangspunkt i en eller flere af problemstillingerne og inddrager historisk viden. Der skal som minimum være mindst én dansksindet og én tysksindet person med i rollespillet. Rollespillet skal desuden have et fortids, nutids- og fremtidsperspektiv.</w:t>
            </w:r>
          </w:p>
          <w:p w:rsidR="008B4217" w:rsidRDefault="008B4217" w:rsidP="008B4217">
            <w:pPr>
              <w:pStyle w:val="Listeafsnit"/>
              <w:numPr>
                <w:ilvl w:val="0"/>
                <w:numId w:val="2"/>
              </w:numPr>
              <w:ind w:left="176" w:hanging="176"/>
              <w:rPr>
                <w:sz w:val="20"/>
              </w:rPr>
            </w:pPr>
            <w:r>
              <w:rPr>
                <w:sz w:val="20"/>
              </w:rPr>
              <w:t>Eleverne fremfører deres rollespil for hinanden</w:t>
            </w:r>
          </w:p>
        </w:tc>
        <w:tc>
          <w:tcPr>
            <w:tcW w:w="2977" w:type="dxa"/>
          </w:tcPr>
          <w:p w:rsidR="008B4217" w:rsidRPr="00A01171" w:rsidRDefault="008B4217" w:rsidP="006114EE">
            <w:pPr>
              <w:rPr>
                <w:sz w:val="20"/>
              </w:rPr>
            </w:pPr>
          </w:p>
        </w:tc>
      </w:tr>
    </w:tbl>
    <w:p w:rsidR="008B4217" w:rsidRPr="00976837" w:rsidRDefault="008B4217" w:rsidP="008B4217">
      <w:pPr>
        <w:spacing w:after="0"/>
        <w:ind w:hanging="709"/>
        <w:rPr>
          <w:sz w:val="20"/>
          <w:szCs w:val="20"/>
        </w:rPr>
        <w:sectPr w:rsidR="008B4217" w:rsidRPr="00976837" w:rsidSect="00586B68">
          <w:pgSz w:w="16838" w:h="11906" w:orient="landscape"/>
          <w:pgMar w:top="1134" w:right="1701" w:bottom="1134" w:left="1701" w:header="708" w:footer="708" w:gutter="0"/>
          <w:cols w:space="708"/>
          <w:docGrid w:linePitch="360"/>
        </w:sectPr>
      </w:pPr>
      <w:r>
        <w:rPr>
          <w:sz w:val="20"/>
          <w:szCs w:val="20"/>
        </w:rPr>
        <w:t>NB! 1 lektion = 45 min</w:t>
      </w:r>
    </w:p>
    <w:p w:rsidR="008B4217" w:rsidRDefault="008B4217" w:rsidP="008B4217">
      <w:pPr>
        <w:pStyle w:val="Overskrift1"/>
      </w:pPr>
      <w:r>
        <w:lastRenderedPageBreak/>
        <w:t>Forslag til:</w:t>
      </w:r>
    </w:p>
    <w:p w:rsidR="008B4217" w:rsidRDefault="008B4217" w:rsidP="008B4217">
      <w:pPr>
        <w:pStyle w:val="Overskrift2"/>
      </w:pPr>
      <w:r>
        <w:t>Undervisningsdifferentiering</w:t>
      </w:r>
    </w:p>
    <w:p w:rsidR="008B4217" w:rsidRPr="00400396" w:rsidRDefault="008B4217" w:rsidP="008B4217">
      <w:pPr>
        <w:spacing w:after="0"/>
      </w:pPr>
      <w:proofErr w:type="spellStart"/>
      <w:r w:rsidRPr="00400396">
        <w:t>xx</w:t>
      </w:r>
      <w:proofErr w:type="spellEnd"/>
      <w:r w:rsidRPr="00400396">
        <w:t>.</w:t>
      </w:r>
    </w:p>
    <w:p w:rsidR="008B4217" w:rsidRDefault="008B4217" w:rsidP="008B4217">
      <w:pPr>
        <w:pStyle w:val="Overskrift2"/>
      </w:pPr>
      <w:r>
        <w:t>Evalueringsformer</w:t>
      </w:r>
    </w:p>
    <w:p w:rsidR="008B4217" w:rsidRDefault="008B4217" w:rsidP="008B4217">
      <w:pPr>
        <w:spacing w:after="0"/>
      </w:pPr>
      <w:proofErr w:type="spellStart"/>
      <w:r>
        <w:t>xx</w:t>
      </w:r>
      <w:proofErr w:type="spellEnd"/>
    </w:p>
    <w:p w:rsidR="008B4217" w:rsidRDefault="008B4217" w:rsidP="008B4217">
      <w:pPr>
        <w:pStyle w:val="Overskrift2"/>
      </w:pPr>
      <w:r>
        <w:t>Bevægelse</w:t>
      </w:r>
    </w:p>
    <w:p w:rsidR="008B4217" w:rsidRPr="00AF18DA" w:rsidRDefault="008B4217" w:rsidP="008B4217">
      <w:pPr>
        <w:spacing w:after="0"/>
      </w:pPr>
      <w:proofErr w:type="spellStart"/>
      <w:r>
        <w:t>xx</w:t>
      </w:r>
      <w:proofErr w:type="spellEnd"/>
    </w:p>
    <w:p w:rsidR="008B4217" w:rsidRDefault="008B4217" w:rsidP="008B4217">
      <w:pPr>
        <w:pStyle w:val="Overskrift2"/>
      </w:pPr>
      <w:r>
        <w:t>Nærområdet som læringsrum</w:t>
      </w:r>
    </w:p>
    <w:p w:rsidR="008B4217" w:rsidRPr="006A2C20" w:rsidRDefault="008B4217" w:rsidP="008B4217">
      <w:pPr>
        <w:spacing w:after="0"/>
      </w:pPr>
      <w:proofErr w:type="spellStart"/>
      <w:r>
        <w:t>xx</w:t>
      </w:r>
      <w:proofErr w:type="spellEnd"/>
      <w:r w:rsidRPr="006A2C20">
        <w:t xml:space="preserve"> </w:t>
      </w:r>
    </w:p>
    <w:p w:rsidR="008B4217" w:rsidRDefault="008B4217" w:rsidP="008B4217">
      <w:pPr>
        <w:pStyle w:val="Overskrift1"/>
      </w:pPr>
      <w:r>
        <w:t>Øvrige gode råd og kommentarer</w:t>
      </w:r>
    </w:p>
    <w:p w:rsidR="008B4217" w:rsidRDefault="008B4217" w:rsidP="008B4217">
      <w:pPr>
        <w:spacing w:after="0"/>
      </w:pPr>
    </w:p>
    <w:p w:rsidR="008B4217" w:rsidRDefault="008B4217" w:rsidP="008B4217">
      <w:pPr>
        <w:spacing w:after="0"/>
      </w:pPr>
      <w:r>
        <w:t>I modul 3 skal du som lærer lave en gennemgang af årsagerne til Genforeningen i 1920. I den gennemgang bør du have fokus på De Slesvigske Krige, Slesvigs indlemmelse i Preussen og senere det Tyske Kejserrige, om etableringen af den danske bevægelse og første verdenskrig. På hjemmesiden, hvor eleverne også skal arbejde i modul 4, kan du finde korte tekster om emnerne.</w:t>
      </w:r>
    </w:p>
    <w:p w:rsidR="008B4217" w:rsidRDefault="008B4217" w:rsidP="008B4217">
      <w:pPr>
        <w:spacing w:after="0"/>
      </w:pPr>
      <w:hyperlink r:id="rId7" w:history="1">
        <w:r w:rsidRPr="00513933">
          <w:rPr>
            <w:rStyle w:val="Hyperlink"/>
          </w:rPr>
          <w:t>http://historiekanon.dk/hoejdepunkter/foerste-slesvigske-krig/</w:t>
        </w:r>
      </w:hyperlink>
      <w:r>
        <w:t xml:space="preserve"> </w:t>
      </w:r>
    </w:p>
    <w:p w:rsidR="008B4217" w:rsidRPr="00CA3751" w:rsidRDefault="008B4217" w:rsidP="008B4217">
      <w:pPr>
        <w:spacing w:after="0"/>
      </w:pPr>
      <w:hyperlink r:id="rId8" w:history="1">
        <w:r w:rsidRPr="00CA3751">
          <w:rPr>
            <w:rStyle w:val="Hyperlink"/>
          </w:rPr>
          <w:t>http://historiekanon.dk/hoejdepunkter/anden-slesvigske-krig/</w:t>
        </w:r>
      </w:hyperlink>
    </w:p>
    <w:p w:rsidR="008B4217" w:rsidRPr="00CA3751" w:rsidRDefault="008B4217" w:rsidP="008B4217">
      <w:pPr>
        <w:spacing w:after="0"/>
      </w:pPr>
      <w:hyperlink r:id="rId9" w:history="1">
        <w:r w:rsidRPr="00CA3751">
          <w:rPr>
            <w:rStyle w:val="Hyperlink"/>
          </w:rPr>
          <w:t>http://historiekanon.dk/hoejdepunkter/indlemmelsen-i-preussen/</w:t>
        </w:r>
      </w:hyperlink>
    </w:p>
    <w:p w:rsidR="008B4217" w:rsidRPr="00CA3751" w:rsidRDefault="008B4217" w:rsidP="008B4217">
      <w:pPr>
        <w:spacing w:after="0"/>
      </w:pPr>
      <w:hyperlink r:id="rId10" w:history="1">
        <w:r w:rsidRPr="00CA3751">
          <w:rPr>
            <w:rStyle w:val="Hyperlink"/>
          </w:rPr>
          <w:t>http://historiekanon.dk/hoejdepunkter/etableringen-af-den-danske-bevaegelse/</w:t>
        </w:r>
      </w:hyperlink>
    </w:p>
    <w:p w:rsidR="008B4217" w:rsidRDefault="008B4217" w:rsidP="008B4217">
      <w:pPr>
        <w:spacing w:after="0"/>
      </w:pPr>
      <w:hyperlink r:id="rId11" w:history="1">
        <w:r w:rsidRPr="00CA3751">
          <w:rPr>
            <w:rStyle w:val="Hyperlink"/>
          </w:rPr>
          <w:t>http://historiekanon.dk/hoejdepunkter/foerste-verdenskrig/</w:t>
        </w:r>
      </w:hyperlink>
    </w:p>
    <w:p w:rsidR="008B4217" w:rsidRDefault="008B4217" w:rsidP="008B4217">
      <w:pPr>
        <w:spacing w:after="0"/>
      </w:pPr>
    </w:p>
    <w:p w:rsidR="008B4217" w:rsidRDefault="008B4217" w:rsidP="008B4217">
      <w:pPr>
        <w:spacing w:after="0"/>
      </w:pPr>
      <w:r>
        <w:t>Formålet med lærerens mundtlige præsentation er at give eleverne de nødvendige forudsætninger for selv at kunne arbejde selvstændigt med Genforeningen og perioden derefter.</w:t>
      </w:r>
    </w:p>
    <w:p w:rsidR="008B4217" w:rsidRDefault="008B4217" w:rsidP="008B4217">
      <w:pPr>
        <w:spacing w:after="0"/>
      </w:pPr>
    </w:p>
    <w:p w:rsidR="008B4217" w:rsidRDefault="008B4217" w:rsidP="008B4217">
      <w:pPr>
        <w:spacing w:after="0"/>
      </w:pPr>
    </w:p>
    <w:p w:rsidR="008B4217" w:rsidRPr="00AF18DA" w:rsidRDefault="008B4217" w:rsidP="008B4217">
      <w:pPr>
        <w:spacing w:after="0"/>
      </w:pPr>
    </w:p>
    <w:p w:rsidR="008B4217" w:rsidRPr="00CA3751" w:rsidRDefault="008B4217" w:rsidP="008B4217"/>
    <w:p w:rsidR="008B4217" w:rsidRPr="0048697E" w:rsidRDefault="008B4217" w:rsidP="008B4217"/>
    <w:p w:rsidR="008B4217" w:rsidRDefault="008B4217" w:rsidP="008B4217"/>
    <w:p w:rsidR="008B4217" w:rsidRDefault="008B4217" w:rsidP="008B4217"/>
    <w:p w:rsidR="008B4217" w:rsidRDefault="008B4217" w:rsidP="008B4217"/>
    <w:p w:rsidR="008B4217" w:rsidRDefault="008B4217" w:rsidP="008B4217"/>
    <w:p w:rsidR="008B4217" w:rsidRDefault="008B4217" w:rsidP="008B4217">
      <w:pPr>
        <w:pBdr>
          <w:bottom w:val="single" w:sz="8" w:space="4" w:color="4F81BD" w:themeColor="accent1"/>
        </w:pBdr>
        <w:spacing w:after="300" w:line="240" w:lineRule="auto"/>
        <w:contextualSpacing/>
      </w:pPr>
    </w:p>
    <w:p w:rsidR="008B4217" w:rsidRPr="00BB25DA" w:rsidRDefault="008B4217" w:rsidP="008B4217">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223F6C">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1</w:t>
      </w:r>
      <w:r w:rsidRPr="00223F6C">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Den Sønderjyske historiekanon</w:t>
      </w:r>
    </w:p>
    <w:p w:rsidR="008B4217" w:rsidRDefault="008B4217" w:rsidP="008B4217"/>
    <w:p w:rsidR="008B4217" w:rsidRDefault="008B4217" w:rsidP="008B4217">
      <w:r>
        <w:t>På hjemmesiden historiekanon.dk kan du arbejde interaktivt med den såkaldte ”sønderjyske historiekanon”. Siden er lavet for at give et fuldstændigt billede af mange års slesvigsk historie, men du skal kun forholde dig til en del af det.</w:t>
      </w:r>
    </w:p>
    <w:p w:rsidR="008B4217" w:rsidRDefault="008B4217" w:rsidP="008B4217">
      <w:pPr>
        <w:pStyle w:val="Listeafsnit"/>
        <w:numPr>
          <w:ilvl w:val="0"/>
          <w:numId w:val="4"/>
        </w:numPr>
      </w:pPr>
      <w:r>
        <w:t xml:space="preserve">Start med at lave en </w:t>
      </w:r>
      <w:proofErr w:type="spellStart"/>
      <w:r>
        <w:t>historiebattle</w:t>
      </w:r>
      <w:proofErr w:type="spellEnd"/>
      <w:r>
        <w:t xml:space="preserve">. Pointen med den er, at du på en nem og overskuelig måde får indsigt i 20 punkter, der har at gøre med den sønderjyske historiekanon. </w:t>
      </w:r>
      <w:hyperlink r:id="rId12" w:history="1">
        <w:r w:rsidRPr="00554665">
          <w:rPr>
            <w:rStyle w:val="Hyperlink"/>
          </w:rPr>
          <w:t>http://historiekanon.dk/historisk-battle/</w:t>
        </w:r>
      </w:hyperlink>
    </w:p>
    <w:p w:rsidR="008B4217" w:rsidRDefault="008B4217" w:rsidP="008B4217">
      <w:pPr>
        <w:pStyle w:val="Listeafsnit"/>
        <w:numPr>
          <w:ilvl w:val="0"/>
          <w:numId w:val="4"/>
        </w:numPr>
      </w:pPr>
      <w:r>
        <w:t xml:space="preserve">Herunder er der en række spørgsmål. Besvar dem ved brug af disse læsestrategier: Skim siderne igennem og nærlæs den tekst du har brug for. Skriv svaret på spørgsmålene ned. </w:t>
      </w:r>
    </w:p>
    <w:p w:rsidR="008B4217" w:rsidRDefault="008B4217" w:rsidP="008B4217">
      <w:pPr>
        <w:pStyle w:val="Listeafsnit"/>
        <w:numPr>
          <w:ilvl w:val="0"/>
          <w:numId w:val="4"/>
        </w:numPr>
      </w:pPr>
      <w:r>
        <w:t>Du skal nu arbejde med seks emner, der handler om Genforeningen og tiden efter Genforeningen. For hvert af de seks emner, skal du se den lille korte video, læse teksten og lave de opgaver, der knytter sig til emnet. Der afsættes ca. 15 min. til hvert emne.</w:t>
      </w:r>
    </w:p>
    <w:p w:rsidR="008B4217" w:rsidRDefault="008B4217" w:rsidP="008B4217">
      <w:pPr>
        <w:pStyle w:val="Listeafsnit"/>
        <w:numPr>
          <w:ilvl w:val="0"/>
          <w:numId w:val="5"/>
        </w:numPr>
      </w:pPr>
      <w:hyperlink r:id="rId13" w:history="1">
        <w:r w:rsidRPr="00B9328D">
          <w:rPr>
            <w:rStyle w:val="Hyperlink"/>
          </w:rPr>
          <w:t>http://historiekanon.dk/hoejdepunkter/genforeningen/</w:t>
        </w:r>
      </w:hyperlink>
    </w:p>
    <w:p w:rsidR="008B4217" w:rsidRDefault="008B4217" w:rsidP="008B4217">
      <w:pPr>
        <w:pStyle w:val="Listeafsnit"/>
        <w:numPr>
          <w:ilvl w:val="0"/>
          <w:numId w:val="5"/>
        </w:numPr>
      </w:pPr>
      <w:hyperlink r:id="rId14" w:history="1">
        <w:r w:rsidRPr="00B9328D">
          <w:rPr>
            <w:rStyle w:val="Hyperlink"/>
          </w:rPr>
          <w:t>http://historiekanon.dk/hoejdepunkter/mindretallene/</w:t>
        </w:r>
      </w:hyperlink>
    </w:p>
    <w:p w:rsidR="008B4217" w:rsidRDefault="008B4217" w:rsidP="008B4217">
      <w:pPr>
        <w:pStyle w:val="Listeafsnit"/>
        <w:numPr>
          <w:ilvl w:val="0"/>
          <w:numId w:val="5"/>
        </w:numPr>
      </w:pPr>
      <w:hyperlink r:id="rId15" w:history="1">
        <w:r w:rsidRPr="00B9328D">
          <w:rPr>
            <w:rStyle w:val="Hyperlink"/>
          </w:rPr>
          <w:t>http://historiekanon.dk/hoejdepunkter/ny-graensestrid/</w:t>
        </w:r>
      </w:hyperlink>
    </w:p>
    <w:p w:rsidR="008B4217" w:rsidRDefault="008B4217" w:rsidP="008B4217">
      <w:pPr>
        <w:pStyle w:val="Listeafsnit"/>
        <w:numPr>
          <w:ilvl w:val="0"/>
          <w:numId w:val="5"/>
        </w:numPr>
      </w:pPr>
      <w:hyperlink r:id="rId16" w:history="1">
        <w:r w:rsidRPr="00B9328D">
          <w:rPr>
            <w:rStyle w:val="Hyperlink"/>
          </w:rPr>
          <w:t>http://historiekanon.dk/hoejdepunkter/opgoeret-med-det-tyske-mindretal/</w:t>
        </w:r>
      </w:hyperlink>
    </w:p>
    <w:p w:rsidR="008B4217" w:rsidRDefault="008B4217" w:rsidP="008B4217">
      <w:pPr>
        <w:pStyle w:val="Listeafsnit"/>
        <w:numPr>
          <w:ilvl w:val="0"/>
          <w:numId w:val="5"/>
        </w:numPr>
      </w:pPr>
      <w:hyperlink r:id="rId17" w:history="1">
        <w:r w:rsidRPr="00B9328D">
          <w:rPr>
            <w:rStyle w:val="Hyperlink"/>
          </w:rPr>
          <w:t>http://historiekanon.dk/hoejdepunkter/koebenhavn-bonn-erklaeringerne/</w:t>
        </w:r>
      </w:hyperlink>
    </w:p>
    <w:p w:rsidR="008B4217" w:rsidRPr="002A04BD" w:rsidRDefault="008B4217" w:rsidP="008B4217">
      <w:pPr>
        <w:pStyle w:val="Listeafsnit"/>
        <w:numPr>
          <w:ilvl w:val="0"/>
          <w:numId w:val="5"/>
        </w:numPr>
      </w:pPr>
      <w:hyperlink r:id="rId18" w:history="1">
        <w:r w:rsidRPr="00513933">
          <w:rPr>
            <w:rStyle w:val="Hyperlink"/>
          </w:rPr>
          <w:t>http://historiekanon.dk/hoejdepunkter/den-aabne-graense/</w:t>
        </w:r>
      </w:hyperlink>
      <w:r>
        <w:t xml:space="preserve"> </w:t>
      </w:r>
    </w:p>
    <w:p w:rsidR="008B4217" w:rsidRPr="00220FD4" w:rsidRDefault="008B4217" w:rsidP="008B4217">
      <w:pPr>
        <w:rPr>
          <w:u w:val="single"/>
        </w:rPr>
      </w:pPr>
      <w:r w:rsidRPr="00220FD4">
        <w:rPr>
          <w:u w:val="single"/>
        </w:rPr>
        <w:t>Spørgsmål til opgave 2</w:t>
      </w:r>
    </w:p>
    <w:p w:rsidR="008B4217" w:rsidRDefault="008B4217" w:rsidP="008B4217">
      <w:r>
        <w:t>Hvilken betydning havde den åbne grænse, der blev indført i 2001?</w:t>
      </w:r>
    </w:p>
    <w:p w:rsidR="008B4217" w:rsidRDefault="008B4217" w:rsidP="008B4217">
      <w:r>
        <w:t>Hvad menes der med ordlyden i Ribebrevet fra 1460: ”evig sammen udelt”?</w:t>
      </w:r>
    </w:p>
    <w:p w:rsidR="008B4217" w:rsidRDefault="008B4217" w:rsidP="008B4217">
      <w:r>
        <w:t>Hvem vandt den første slesvigske krig?</w:t>
      </w:r>
    </w:p>
    <w:p w:rsidR="008B4217" w:rsidRDefault="008B4217" w:rsidP="008B4217">
      <w:r>
        <w:t>Hvilken betydning havde det for Slesvigerne, at de blev indlemmet først i Preussen og senere i Det tyske Kejserrige?</w:t>
      </w:r>
    </w:p>
    <w:p w:rsidR="008B4217" w:rsidRDefault="008B4217" w:rsidP="008B4217">
      <w:r>
        <w:t>Hvem var den sejrende mellem kongen og hertugerne af Gottorp?</w:t>
      </w:r>
    </w:p>
    <w:p w:rsidR="008B4217" w:rsidRDefault="008B4217" w:rsidP="008B4217">
      <w:r>
        <w:t>Hvorfor opstod der igen strid om den dansk-tyske grænse efter 1933?</w:t>
      </w:r>
    </w:p>
    <w:p w:rsidR="008B4217" w:rsidRDefault="008B4217" w:rsidP="008B4217">
      <w:r>
        <w:t>Hvorfor var der danskere, der døde under 1. verdenskrig, når nu Danmark var neutral og ikke deltog i krigen?</w:t>
      </w:r>
    </w:p>
    <w:p w:rsidR="008B4217" w:rsidRDefault="008B4217" w:rsidP="008B4217">
      <w:r>
        <w:t>Hvem var i krig med hinanden i 1864?</w:t>
      </w:r>
    </w:p>
    <w:p w:rsidR="008B4217" w:rsidRDefault="008B4217" w:rsidP="008B4217">
      <w:r>
        <w:t>Hvilke rettigheder fik mindretallene på begge sider af grænsen efter afstemningen i 1920?</w:t>
      </w:r>
    </w:p>
    <w:p w:rsidR="008B4217" w:rsidRDefault="008B4217" w:rsidP="008B4217">
      <w:r>
        <w:t>Hvilken landsdel blev en del af Danmark efter afstemningen i 1920?</w:t>
      </w:r>
    </w:p>
    <w:p w:rsidR="008B4217" w:rsidRDefault="008B4217" w:rsidP="008B4217">
      <w:r>
        <w:t>Hvad er København-Bonn erklæringen?</w:t>
      </w:r>
    </w:p>
    <w:p w:rsidR="008B4217" w:rsidRDefault="008B4217" w:rsidP="008B4217">
      <w:r>
        <w:lastRenderedPageBreak/>
        <w:t>Hvad skete der i skæbneåret 1659?</w:t>
      </w:r>
    </w:p>
    <w:p w:rsidR="008B4217" w:rsidRDefault="008B4217" w:rsidP="008B4217">
      <w:r>
        <w:t>Hvor lå Danmarks første og oprindelige grænse?</w:t>
      </w:r>
    </w:p>
    <w:p w:rsidR="008B4217" w:rsidRDefault="008B4217" w:rsidP="008B4217">
      <w:r>
        <w:t>Hvornår og hvor kom Reformationen først til Danmark?</w:t>
      </w:r>
    </w:p>
    <w:p w:rsidR="008B4217" w:rsidRDefault="008B4217" w:rsidP="008B4217">
      <w:r>
        <w:t xml:space="preserve">Hvilke to </w:t>
      </w:r>
      <w:proofErr w:type="spellStart"/>
      <w:r>
        <w:t>national-liberale</w:t>
      </w:r>
      <w:proofErr w:type="spellEnd"/>
      <w:r>
        <w:t xml:space="preserve"> bevægelser opstod i 1800-tallet? </w:t>
      </w:r>
    </w:p>
    <w:p w:rsidR="008B4217" w:rsidRDefault="008B4217" w:rsidP="008B4217">
      <w:r>
        <w:t>Hvorfor begyndte nogen i slutningen af 1800-tallet at etablere danske bevægelser i Slesvig?</w:t>
      </w:r>
    </w:p>
    <w:p w:rsidR="008B4217" w:rsidRDefault="008B4217" w:rsidP="008B4217">
      <w:r>
        <w:t>Hvad er Ejderkanalen, og hvilken rolle har den spillet?</w:t>
      </w:r>
    </w:p>
    <w:p w:rsidR="008B4217" w:rsidRDefault="008B4217" w:rsidP="008B4217">
      <w:r>
        <w:t>Hvordan og hvornår opstod Hertugdømmet Slesvig?</w:t>
      </w:r>
    </w:p>
    <w:p w:rsidR="008B4217" w:rsidRDefault="008B4217" w:rsidP="008B4217">
      <w:r>
        <w:t>Hvordan reagerede danskerne efter den danske besættelse mod tysksindede danskere, der havde støttet Tyskland under krigen?</w:t>
      </w:r>
    </w:p>
    <w:p w:rsidR="008B4217" w:rsidRDefault="008B4217" w:rsidP="008B4217">
      <w:pPr>
        <w:pStyle w:val="Overskrift3"/>
        <w:shd w:val="clear" w:color="auto" w:fill="FFFFFF"/>
        <w:spacing w:before="0" w:after="300" w:line="390" w:lineRule="atLeast"/>
        <w:textAlignment w:val="baseline"/>
        <w:rPr>
          <w:rFonts w:ascii="Arial" w:hAnsi="Arial" w:cs="Arial"/>
          <w:color w:val="000000"/>
          <w:sz w:val="30"/>
          <w:szCs w:val="30"/>
        </w:rPr>
      </w:pPr>
    </w:p>
    <w:p w:rsidR="00777673" w:rsidRDefault="00777673">
      <w:bookmarkStart w:id="0" w:name="_GoBack"/>
      <w:bookmarkEnd w:id="0"/>
    </w:p>
    <w:sectPr w:rsidR="00777673"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F0FDE"/>
    <w:multiLevelType w:val="hybridMultilevel"/>
    <w:tmpl w:val="61160B92"/>
    <w:lvl w:ilvl="0" w:tplc="44E46D30">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34D3D4B"/>
    <w:multiLevelType w:val="hybridMultilevel"/>
    <w:tmpl w:val="A712F38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5E01E6D"/>
    <w:multiLevelType w:val="hybridMultilevel"/>
    <w:tmpl w:val="DC5EC194"/>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17"/>
    <w:rsid w:val="00777673"/>
    <w:rsid w:val="008B42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17"/>
  </w:style>
  <w:style w:type="paragraph" w:styleId="Overskrift1">
    <w:name w:val="heading 1"/>
    <w:basedOn w:val="Normal"/>
    <w:next w:val="Normal"/>
    <w:link w:val="Overskrift1Tegn"/>
    <w:uiPriority w:val="9"/>
    <w:qFormat/>
    <w:rsid w:val="008B4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B42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B42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421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8B421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8B4217"/>
    <w:rPr>
      <w:rFonts w:asciiTheme="majorHAnsi" w:eastAsiaTheme="majorEastAsia" w:hAnsiTheme="majorHAnsi" w:cstheme="majorBidi"/>
      <w:b/>
      <w:bCs/>
      <w:color w:val="4F81BD" w:themeColor="accent1"/>
    </w:rPr>
  </w:style>
  <w:style w:type="table" w:styleId="Tabel-Gitter">
    <w:name w:val="Table Grid"/>
    <w:basedOn w:val="Tabel-Normal"/>
    <w:uiPriority w:val="59"/>
    <w:rsid w:val="008B4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8B4217"/>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8B4217"/>
    <w:rPr>
      <w:rFonts w:eastAsiaTheme="minorEastAsia"/>
      <w:sz w:val="18"/>
      <w:lang w:eastAsia="da-DK"/>
    </w:rPr>
  </w:style>
  <w:style w:type="paragraph" w:styleId="Titel">
    <w:name w:val="Title"/>
    <w:basedOn w:val="Normal"/>
    <w:next w:val="Normal"/>
    <w:link w:val="TitelTegn"/>
    <w:uiPriority w:val="10"/>
    <w:qFormat/>
    <w:rsid w:val="008B42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B4217"/>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8B4217"/>
    <w:pPr>
      <w:ind w:left="720"/>
      <w:contextualSpacing/>
    </w:pPr>
  </w:style>
  <w:style w:type="character" w:styleId="Hyperlink">
    <w:name w:val="Hyperlink"/>
    <w:basedOn w:val="Standardskrifttypeiafsnit"/>
    <w:uiPriority w:val="99"/>
    <w:unhideWhenUsed/>
    <w:rsid w:val="008B4217"/>
    <w:rPr>
      <w:color w:val="0000FF"/>
      <w:u w:val="single"/>
    </w:rPr>
  </w:style>
  <w:style w:type="paragraph" w:styleId="Opstilling-punkttegn">
    <w:name w:val="List Bullet"/>
    <w:basedOn w:val="Normal"/>
    <w:uiPriority w:val="99"/>
    <w:semiHidden/>
    <w:unhideWhenUsed/>
    <w:rsid w:val="008B4217"/>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17"/>
  </w:style>
  <w:style w:type="paragraph" w:styleId="Overskrift1">
    <w:name w:val="heading 1"/>
    <w:basedOn w:val="Normal"/>
    <w:next w:val="Normal"/>
    <w:link w:val="Overskrift1Tegn"/>
    <w:uiPriority w:val="9"/>
    <w:qFormat/>
    <w:rsid w:val="008B4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B42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B42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421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8B421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8B4217"/>
    <w:rPr>
      <w:rFonts w:asciiTheme="majorHAnsi" w:eastAsiaTheme="majorEastAsia" w:hAnsiTheme="majorHAnsi" w:cstheme="majorBidi"/>
      <w:b/>
      <w:bCs/>
      <w:color w:val="4F81BD" w:themeColor="accent1"/>
    </w:rPr>
  </w:style>
  <w:style w:type="table" w:styleId="Tabel-Gitter">
    <w:name w:val="Table Grid"/>
    <w:basedOn w:val="Tabel-Normal"/>
    <w:uiPriority w:val="59"/>
    <w:rsid w:val="008B4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8B4217"/>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8B4217"/>
    <w:rPr>
      <w:rFonts w:eastAsiaTheme="minorEastAsia"/>
      <w:sz w:val="18"/>
      <w:lang w:eastAsia="da-DK"/>
    </w:rPr>
  </w:style>
  <w:style w:type="paragraph" w:styleId="Titel">
    <w:name w:val="Title"/>
    <w:basedOn w:val="Normal"/>
    <w:next w:val="Normal"/>
    <w:link w:val="TitelTegn"/>
    <w:uiPriority w:val="10"/>
    <w:qFormat/>
    <w:rsid w:val="008B42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B4217"/>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8B4217"/>
    <w:pPr>
      <w:ind w:left="720"/>
      <w:contextualSpacing/>
    </w:pPr>
  </w:style>
  <w:style w:type="character" w:styleId="Hyperlink">
    <w:name w:val="Hyperlink"/>
    <w:basedOn w:val="Standardskrifttypeiafsnit"/>
    <w:uiPriority w:val="99"/>
    <w:unhideWhenUsed/>
    <w:rsid w:val="008B4217"/>
    <w:rPr>
      <w:color w:val="0000FF"/>
      <w:u w:val="single"/>
    </w:rPr>
  </w:style>
  <w:style w:type="paragraph" w:styleId="Opstilling-punkttegn">
    <w:name w:val="List Bullet"/>
    <w:basedOn w:val="Normal"/>
    <w:uiPriority w:val="99"/>
    <w:semiHidden/>
    <w:unhideWhenUsed/>
    <w:rsid w:val="008B421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iekanon.dk/hoejdepunkter/anden-slesvigske-krig/" TargetMode="External"/><Relationship Id="rId13" Type="http://schemas.openxmlformats.org/officeDocument/2006/relationships/hyperlink" Target="http://historiekanon.dk/hoejdepunkter/genforeningen/" TargetMode="External"/><Relationship Id="rId18" Type="http://schemas.openxmlformats.org/officeDocument/2006/relationships/hyperlink" Target="http://historiekanon.dk/hoejdepunkter/den-aabne-graense/" TargetMode="External"/><Relationship Id="rId3" Type="http://schemas.microsoft.com/office/2007/relationships/stylesWithEffects" Target="stylesWithEffects.xml"/><Relationship Id="rId7" Type="http://schemas.openxmlformats.org/officeDocument/2006/relationships/hyperlink" Target="http://historiekanon.dk/hoejdepunkter/foerste-slesvigske-krig/" TargetMode="External"/><Relationship Id="rId12" Type="http://schemas.openxmlformats.org/officeDocument/2006/relationships/hyperlink" Target="http://historiekanon.dk/historisk-battle/" TargetMode="External"/><Relationship Id="rId17" Type="http://schemas.openxmlformats.org/officeDocument/2006/relationships/hyperlink" Target="http://historiekanon.dk/hoejdepunkter/koebenhavn-bonn-erklaeringerne/" TargetMode="External"/><Relationship Id="rId2" Type="http://schemas.openxmlformats.org/officeDocument/2006/relationships/styles" Target="styles.xml"/><Relationship Id="rId16" Type="http://schemas.openxmlformats.org/officeDocument/2006/relationships/hyperlink" Target="http://historiekanon.dk/hoejdepunkter/opgoeret-med-det-tyske-mindret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istoriekanon.dk" TargetMode="External"/><Relationship Id="rId11" Type="http://schemas.openxmlformats.org/officeDocument/2006/relationships/hyperlink" Target="http://historiekanon.dk/hoejdepunkter/foerste-verdenskrig/" TargetMode="External"/><Relationship Id="rId5" Type="http://schemas.openxmlformats.org/officeDocument/2006/relationships/webSettings" Target="webSettings.xml"/><Relationship Id="rId15" Type="http://schemas.openxmlformats.org/officeDocument/2006/relationships/hyperlink" Target="http://historiekanon.dk/hoejdepunkter/ny-graensestrid/" TargetMode="External"/><Relationship Id="rId10" Type="http://schemas.openxmlformats.org/officeDocument/2006/relationships/hyperlink" Target="http://historiekanon.dk/hoejdepunkter/etableringen-af-den-danske-bevaegel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istoriekanon.dk/hoejdepunkter/indlemmelsen-i-preussen/" TargetMode="External"/><Relationship Id="rId14" Type="http://schemas.openxmlformats.org/officeDocument/2006/relationships/hyperlink" Target="http://historiekanon.dk/hoejdepunkter/mindretallen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6942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2017-05-24T10:07:00Z</dcterms:created>
  <dcterms:modified xsi:type="dcterms:W3CDTF">2017-05-24T10:08:00Z</dcterms:modified>
</cp:coreProperties>
</file>