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7E" w:rsidRDefault="003A137E" w:rsidP="003A137E">
      <w:pPr>
        <w:pStyle w:val="Titel"/>
      </w:pPr>
      <w:r>
        <w:t xml:space="preserve">Lektionsplan: </w:t>
      </w:r>
      <w:r>
        <w:t>Push and</w:t>
      </w:r>
      <w:r>
        <w:t xml:space="preserve"> </w:t>
      </w:r>
      <w:proofErr w:type="spellStart"/>
      <w:r>
        <w:t>Pull</w:t>
      </w:r>
      <w:proofErr w:type="spellEnd"/>
      <w:r>
        <w:t xml:space="preserve"> (Folkevandringer)</w:t>
      </w:r>
    </w:p>
    <w:tbl>
      <w:tblPr>
        <w:tblStyle w:val="Tabel-Gitter"/>
        <w:tblW w:w="15452" w:type="dxa"/>
        <w:tblInd w:w="-743" w:type="dxa"/>
        <w:tblLook w:val="04A0" w:firstRow="1" w:lastRow="0" w:firstColumn="1" w:lastColumn="0" w:noHBand="0" w:noVBand="1"/>
      </w:tblPr>
      <w:tblGrid>
        <w:gridCol w:w="1007"/>
        <w:gridCol w:w="2691"/>
        <w:gridCol w:w="2692"/>
        <w:gridCol w:w="2548"/>
        <w:gridCol w:w="3464"/>
        <w:gridCol w:w="3050"/>
      </w:tblGrid>
      <w:tr w:rsidR="003A137E" w:rsidRPr="003A137E" w:rsidTr="007537CF">
        <w:tc>
          <w:tcPr>
            <w:tcW w:w="15452" w:type="dxa"/>
            <w:gridSpan w:val="6"/>
          </w:tcPr>
          <w:p w:rsidR="003A137E" w:rsidRPr="003A137E" w:rsidRDefault="003A137E" w:rsidP="003A137E">
            <w:pPr>
              <w:jc w:val="center"/>
              <w:rPr>
                <w:b/>
                <w:sz w:val="32"/>
                <w:szCs w:val="32"/>
              </w:rPr>
            </w:pPr>
            <w:r w:rsidRPr="003A137E">
              <w:rPr>
                <w:b/>
                <w:sz w:val="32"/>
                <w:szCs w:val="32"/>
              </w:rPr>
              <w:t>Lektionsplan</w:t>
            </w:r>
          </w:p>
        </w:tc>
      </w:tr>
      <w:tr w:rsidR="003A137E" w:rsidRPr="003A137E" w:rsidTr="007537CF">
        <w:tc>
          <w:tcPr>
            <w:tcW w:w="1007" w:type="dxa"/>
          </w:tcPr>
          <w:p w:rsidR="003A137E" w:rsidRPr="003A137E" w:rsidRDefault="003A137E" w:rsidP="003A137E">
            <w:pPr>
              <w:rPr>
                <w:sz w:val="16"/>
                <w:szCs w:val="16"/>
              </w:rPr>
            </w:pPr>
            <w:r w:rsidRPr="003A137E">
              <w:rPr>
                <w:b/>
                <w:sz w:val="24"/>
                <w:szCs w:val="24"/>
              </w:rPr>
              <w:t>Modul</w:t>
            </w:r>
          </w:p>
        </w:tc>
        <w:tc>
          <w:tcPr>
            <w:tcW w:w="2691" w:type="dxa"/>
          </w:tcPr>
          <w:p w:rsidR="003A137E" w:rsidRPr="003A137E" w:rsidRDefault="003A137E" w:rsidP="003A137E">
            <w:pPr>
              <w:rPr>
                <w:b/>
              </w:rPr>
            </w:pPr>
            <w:r w:rsidRPr="003A137E">
              <w:rPr>
                <w:b/>
                <w:sz w:val="24"/>
                <w:szCs w:val="24"/>
              </w:rPr>
              <w:t>Indholdsmæssigt fokus</w:t>
            </w:r>
          </w:p>
        </w:tc>
        <w:tc>
          <w:tcPr>
            <w:tcW w:w="2692" w:type="dxa"/>
          </w:tcPr>
          <w:p w:rsidR="003A137E" w:rsidRPr="003A137E" w:rsidRDefault="003A137E" w:rsidP="003A137E">
            <w:r w:rsidRPr="003A137E">
              <w:rPr>
                <w:b/>
                <w:sz w:val="24"/>
                <w:szCs w:val="24"/>
              </w:rPr>
              <w:t>Færdighedsmål</w:t>
            </w:r>
          </w:p>
        </w:tc>
        <w:tc>
          <w:tcPr>
            <w:tcW w:w="2548" w:type="dxa"/>
          </w:tcPr>
          <w:p w:rsidR="003A137E" w:rsidRPr="003A137E" w:rsidRDefault="003A137E" w:rsidP="003A137E">
            <w:r w:rsidRPr="003A137E">
              <w:rPr>
                <w:b/>
                <w:sz w:val="24"/>
                <w:szCs w:val="24"/>
              </w:rPr>
              <w:t>Læringsmål</w:t>
            </w:r>
          </w:p>
        </w:tc>
        <w:tc>
          <w:tcPr>
            <w:tcW w:w="3464" w:type="dxa"/>
          </w:tcPr>
          <w:p w:rsidR="003A137E" w:rsidRPr="003A137E" w:rsidRDefault="003A137E" w:rsidP="003A137E">
            <w:r w:rsidRPr="003A137E">
              <w:rPr>
                <w:b/>
                <w:sz w:val="24"/>
                <w:szCs w:val="24"/>
              </w:rPr>
              <w:t>Undervisningsaktivitet</w:t>
            </w:r>
          </w:p>
        </w:tc>
        <w:tc>
          <w:tcPr>
            <w:tcW w:w="3050" w:type="dxa"/>
          </w:tcPr>
          <w:p w:rsidR="003A137E" w:rsidRPr="003A137E" w:rsidRDefault="003A137E" w:rsidP="003A137E">
            <w:pPr>
              <w:rPr>
                <w:b/>
                <w:sz w:val="24"/>
                <w:szCs w:val="24"/>
              </w:rPr>
            </w:pPr>
            <w:r w:rsidRPr="003A137E">
              <w:rPr>
                <w:b/>
                <w:sz w:val="24"/>
                <w:szCs w:val="24"/>
              </w:rPr>
              <w:t>Tegn på læring</w:t>
            </w:r>
          </w:p>
          <w:p w:rsidR="003A137E" w:rsidRPr="003A137E" w:rsidRDefault="003A137E" w:rsidP="003A137E"/>
        </w:tc>
      </w:tr>
      <w:tr w:rsidR="003A137E" w:rsidRPr="003A137E" w:rsidTr="007537CF">
        <w:tc>
          <w:tcPr>
            <w:tcW w:w="1007" w:type="dxa"/>
          </w:tcPr>
          <w:p w:rsidR="003A137E" w:rsidRPr="003A137E" w:rsidRDefault="003A137E" w:rsidP="003A137E">
            <w:pPr>
              <w:rPr>
                <w:sz w:val="20"/>
              </w:rPr>
            </w:pPr>
            <w:r w:rsidRPr="003A137E">
              <w:rPr>
                <w:sz w:val="20"/>
              </w:rPr>
              <w:t>1</w:t>
            </w:r>
          </w:p>
          <w:p w:rsidR="003A137E" w:rsidRPr="003A137E" w:rsidRDefault="003A137E" w:rsidP="003A137E">
            <w:pPr>
              <w:rPr>
                <w:sz w:val="20"/>
              </w:rPr>
            </w:pPr>
            <w:r w:rsidRPr="003A137E">
              <w:rPr>
                <w:sz w:val="20"/>
              </w:rPr>
              <w:t>(1 lektion)</w:t>
            </w:r>
          </w:p>
        </w:tc>
        <w:tc>
          <w:tcPr>
            <w:tcW w:w="2691" w:type="dxa"/>
          </w:tcPr>
          <w:p w:rsidR="003A137E" w:rsidRPr="003A137E" w:rsidRDefault="003A137E" w:rsidP="003A137E">
            <w:pPr>
              <w:rPr>
                <w:sz w:val="18"/>
                <w:szCs w:val="18"/>
              </w:rPr>
            </w:pPr>
            <w:r w:rsidRPr="003A137E">
              <w:rPr>
                <w:sz w:val="18"/>
                <w:szCs w:val="18"/>
              </w:rPr>
              <w:t>Åbning</w:t>
            </w:r>
          </w:p>
          <w:p w:rsidR="003A137E" w:rsidRPr="003A137E" w:rsidRDefault="003A137E" w:rsidP="003A137E">
            <w:pPr>
              <w:rPr>
                <w:sz w:val="20"/>
              </w:rPr>
            </w:pPr>
          </w:p>
        </w:tc>
        <w:tc>
          <w:tcPr>
            <w:tcW w:w="2692" w:type="dxa"/>
          </w:tcPr>
          <w:p w:rsidR="003A137E" w:rsidRPr="003A137E" w:rsidRDefault="003A137E" w:rsidP="003A137E">
            <w:pPr>
              <w:rPr>
                <w:sz w:val="18"/>
                <w:szCs w:val="18"/>
              </w:rPr>
            </w:pPr>
            <w:r w:rsidRPr="003A137E">
              <w:rPr>
                <w:sz w:val="18"/>
                <w:szCs w:val="18"/>
              </w:rPr>
              <w:t>Eleven kan beskrive ændringer i magtforhold og samfundsstrukturer over tid</w:t>
            </w:r>
          </w:p>
          <w:p w:rsidR="003A137E" w:rsidRPr="003A137E" w:rsidRDefault="003A137E" w:rsidP="003A137E">
            <w:pPr>
              <w:rPr>
                <w:sz w:val="20"/>
                <w:szCs w:val="20"/>
              </w:rPr>
            </w:pPr>
          </w:p>
        </w:tc>
        <w:tc>
          <w:tcPr>
            <w:tcW w:w="2548" w:type="dxa"/>
          </w:tcPr>
          <w:p w:rsidR="003A137E" w:rsidRPr="003A137E" w:rsidRDefault="003A137E" w:rsidP="003A137E">
            <w:pPr>
              <w:rPr>
                <w:sz w:val="18"/>
                <w:szCs w:val="18"/>
              </w:rPr>
            </w:pPr>
            <w:r w:rsidRPr="003A137E">
              <w:rPr>
                <w:sz w:val="18"/>
                <w:szCs w:val="18"/>
              </w:rPr>
              <w:t>Eleven kan</w:t>
            </w:r>
          </w:p>
          <w:p w:rsidR="003A137E" w:rsidRPr="003A137E" w:rsidRDefault="003A137E" w:rsidP="003A137E">
            <w:pPr>
              <w:numPr>
                <w:ilvl w:val="0"/>
                <w:numId w:val="3"/>
              </w:numPr>
              <w:contextualSpacing/>
              <w:rPr>
                <w:sz w:val="18"/>
                <w:szCs w:val="18"/>
              </w:rPr>
            </w:pPr>
            <w:r w:rsidRPr="003A137E">
              <w:rPr>
                <w:sz w:val="18"/>
                <w:szCs w:val="18"/>
              </w:rPr>
              <w:t xml:space="preserve">reflektere over hvorfor større folkemængder er i vandring </w:t>
            </w:r>
          </w:p>
          <w:p w:rsidR="003A137E" w:rsidRPr="003A137E" w:rsidRDefault="003A137E" w:rsidP="003A137E">
            <w:pPr>
              <w:rPr>
                <w:sz w:val="20"/>
              </w:rPr>
            </w:pPr>
          </w:p>
        </w:tc>
        <w:tc>
          <w:tcPr>
            <w:tcW w:w="3464" w:type="dxa"/>
          </w:tcPr>
          <w:p w:rsidR="003A137E" w:rsidRPr="003A137E" w:rsidRDefault="003A137E" w:rsidP="003A137E">
            <w:pPr>
              <w:numPr>
                <w:ilvl w:val="0"/>
                <w:numId w:val="1"/>
              </w:numPr>
              <w:ind w:left="176" w:hanging="176"/>
              <w:contextualSpacing/>
              <w:rPr>
                <w:sz w:val="18"/>
                <w:szCs w:val="18"/>
              </w:rPr>
            </w:pPr>
            <w:r w:rsidRPr="003A137E">
              <w:rPr>
                <w:sz w:val="18"/>
                <w:szCs w:val="18"/>
              </w:rPr>
              <w:t>Refleksionsøvelsen bilag 1. Læs spørgsmålene igennem på klassen og giv herefter eleverne 7 min. til at tænke over spørgsmålene. Lad herefter eleverne parvis formulere svar på spørgsmålene.</w:t>
            </w:r>
          </w:p>
          <w:p w:rsidR="003A137E" w:rsidRPr="003A137E" w:rsidRDefault="003A137E" w:rsidP="003A137E">
            <w:pPr>
              <w:numPr>
                <w:ilvl w:val="0"/>
                <w:numId w:val="1"/>
              </w:numPr>
              <w:ind w:left="176" w:hanging="176"/>
              <w:contextualSpacing/>
              <w:rPr>
                <w:sz w:val="18"/>
                <w:szCs w:val="18"/>
              </w:rPr>
            </w:pPr>
            <w:r w:rsidRPr="003A137E">
              <w:rPr>
                <w:sz w:val="18"/>
                <w:szCs w:val="18"/>
              </w:rPr>
              <w:t>Lav en kort fælles opsamling på klassen med udgangspunkt i de svar, eleverne parvis har formuleret.</w:t>
            </w:r>
          </w:p>
        </w:tc>
        <w:tc>
          <w:tcPr>
            <w:tcW w:w="3050" w:type="dxa"/>
          </w:tcPr>
          <w:p w:rsidR="003A137E" w:rsidRPr="003A137E" w:rsidRDefault="003A137E" w:rsidP="003A137E">
            <w:pPr>
              <w:widowControl w:val="0"/>
              <w:contextualSpacing/>
              <w:rPr>
                <w:sz w:val="18"/>
              </w:rPr>
            </w:pPr>
          </w:p>
        </w:tc>
      </w:tr>
      <w:tr w:rsidR="003A137E" w:rsidRPr="003A137E" w:rsidTr="007537CF">
        <w:tc>
          <w:tcPr>
            <w:tcW w:w="1007" w:type="dxa"/>
          </w:tcPr>
          <w:p w:rsidR="003A137E" w:rsidRPr="003A137E" w:rsidRDefault="003A137E" w:rsidP="003A137E">
            <w:pPr>
              <w:rPr>
                <w:sz w:val="20"/>
              </w:rPr>
            </w:pPr>
            <w:r w:rsidRPr="003A137E">
              <w:rPr>
                <w:sz w:val="20"/>
              </w:rPr>
              <w:t>2</w:t>
            </w:r>
          </w:p>
          <w:p w:rsidR="003A137E" w:rsidRPr="003A137E" w:rsidRDefault="003A137E" w:rsidP="003A137E">
            <w:pPr>
              <w:rPr>
                <w:sz w:val="20"/>
              </w:rPr>
            </w:pPr>
            <w:r w:rsidRPr="003A137E">
              <w:rPr>
                <w:sz w:val="20"/>
              </w:rPr>
              <w:t>(2 lektioner)</w:t>
            </w:r>
          </w:p>
        </w:tc>
        <w:tc>
          <w:tcPr>
            <w:tcW w:w="2691" w:type="dxa"/>
          </w:tcPr>
          <w:p w:rsidR="003A137E" w:rsidRPr="003A137E" w:rsidRDefault="003A137E" w:rsidP="003A137E">
            <w:pPr>
              <w:rPr>
                <w:sz w:val="18"/>
                <w:szCs w:val="18"/>
              </w:rPr>
            </w:pPr>
            <w:r w:rsidRPr="003A137E">
              <w:rPr>
                <w:sz w:val="18"/>
                <w:szCs w:val="18"/>
              </w:rPr>
              <w:t>Flygtninge i nutiden</w:t>
            </w:r>
          </w:p>
        </w:tc>
        <w:tc>
          <w:tcPr>
            <w:tcW w:w="2692" w:type="dxa"/>
          </w:tcPr>
          <w:p w:rsidR="003A137E" w:rsidRPr="003A137E" w:rsidRDefault="003A137E" w:rsidP="003A137E">
            <w:pPr>
              <w:rPr>
                <w:sz w:val="18"/>
                <w:szCs w:val="18"/>
              </w:rPr>
            </w:pPr>
            <w:r w:rsidRPr="003A137E">
              <w:rPr>
                <w:sz w:val="18"/>
                <w:szCs w:val="18"/>
              </w:rPr>
              <w:t>Eleven kan beskrive ændringer i magtforhold og samfundsstrukturer over tid</w:t>
            </w:r>
          </w:p>
        </w:tc>
        <w:tc>
          <w:tcPr>
            <w:tcW w:w="2548" w:type="dxa"/>
          </w:tcPr>
          <w:p w:rsidR="003A137E" w:rsidRPr="003A137E" w:rsidRDefault="003A137E" w:rsidP="003A137E">
            <w:pPr>
              <w:rPr>
                <w:sz w:val="18"/>
                <w:szCs w:val="18"/>
              </w:rPr>
            </w:pPr>
            <w:r w:rsidRPr="003A137E">
              <w:rPr>
                <w:sz w:val="18"/>
                <w:szCs w:val="18"/>
              </w:rPr>
              <w:t>Eleven kan</w:t>
            </w:r>
          </w:p>
          <w:p w:rsidR="003A137E" w:rsidRPr="003A137E" w:rsidRDefault="003A137E" w:rsidP="003A137E">
            <w:pPr>
              <w:numPr>
                <w:ilvl w:val="0"/>
                <w:numId w:val="3"/>
              </w:numPr>
              <w:contextualSpacing/>
              <w:rPr>
                <w:sz w:val="18"/>
                <w:szCs w:val="18"/>
              </w:rPr>
            </w:pPr>
            <w:r w:rsidRPr="003A137E">
              <w:rPr>
                <w:sz w:val="18"/>
                <w:szCs w:val="18"/>
              </w:rPr>
              <w:t>med udgangspunkt i filmen, beskrive livet på et asylcenter</w:t>
            </w:r>
          </w:p>
          <w:p w:rsidR="003A137E" w:rsidRPr="003A137E" w:rsidRDefault="003A137E" w:rsidP="003A137E">
            <w:pPr>
              <w:numPr>
                <w:ilvl w:val="0"/>
                <w:numId w:val="3"/>
              </w:numPr>
              <w:contextualSpacing/>
              <w:rPr>
                <w:sz w:val="18"/>
                <w:szCs w:val="18"/>
              </w:rPr>
            </w:pPr>
            <w:r w:rsidRPr="003A137E">
              <w:rPr>
                <w:sz w:val="18"/>
                <w:szCs w:val="18"/>
              </w:rPr>
              <w:t>tage stilling til livet i et asylcenter</w:t>
            </w:r>
          </w:p>
          <w:p w:rsidR="003A137E" w:rsidRPr="003A137E" w:rsidRDefault="003A137E" w:rsidP="003A137E">
            <w:pPr>
              <w:numPr>
                <w:ilvl w:val="0"/>
                <w:numId w:val="3"/>
              </w:numPr>
              <w:contextualSpacing/>
              <w:rPr>
                <w:sz w:val="18"/>
                <w:szCs w:val="18"/>
              </w:rPr>
            </w:pPr>
            <w:r w:rsidRPr="003A137E">
              <w:rPr>
                <w:sz w:val="18"/>
                <w:szCs w:val="18"/>
              </w:rPr>
              <w:t xml:space="preserve">analysere simple dele af filmen </w:t>
            </w:r>
          </w:p>
          <w:p w:rsidR="003A137E" w:rsidRPr="003A137E" w:rsidRDefault="003A137E" w:rsidP="003A137E">
            <w:pPr>
              <w:rPr>
                <w:sz w:val="20"/>
              </w:rPr>
            </w:pPr>
          </w:p>
        </w:tc>
        <w:tc>
          <w:tcPr>
            <w:tcW w:w="3464" w:type="dxa"/>
          </w:tcPr>
          <w:p w:rsidR="003A137E" w:rsidRPr="003A137E" w:rsidRDefault="003A137E" w:rsidP="003A137E">
            <w:pPr>
              <w:numPr>
                <w:ilvl w:val="0"/>
                <w:numId w:val="1"/>
              </w:numPr>
              <w:ind w:left="176" w:hanging="176"/>
              <w:contextualSpacing/>
              <w:rPr>
                <w:sz w:val="18"/>
                <w:szCs w:val="18"/>
              </w:rPr>
            </w:pPr>
            <w:r w:rsidRPr="003A137E">
              <w:rPr>
                <w:sz w:val="18"/>
                <w:szCs w:val="18"/>
              </w:rPr>
              <w:t xml:space="preserve">Brug bilag 2. Læs spørgsmålene igennem inden filmen vises. </w:t>
            </w:r>
          </w:p>
          <w:p w:rsidR="003A137E" w:rsidRPr="003A137E" w:rsidRDefault="003A137E" w:rsidP="003A137E">
            <w:pPr>
              <w:numPr>
                <w:ilvl w:val="0"/>
                <w:numId w:val="1"/>
              </w:numPr>
              <w:ind w:left="176" w:hanging="176"/>
              <w:contextualSpacing/>
              <w:rPr>
                <w:sz w:val="18"/>
                <w:szCs w:val="18"/>
              </w:rPr>
            </w:pPr>
            <w:r w:rsidRPr="003A137E">
              <w:rPr>
                <w:sz w:val="18"/>
                <w:szCs w:val="18"/>
              </w:rPr>
              <w:t>Film: Jamila, Gid jeg kunne flyve.</w:t>
            </w:r>
          </w:p>
          <w:p w:rsidR="003A137E" w:rsidRPr="003A137E" w:rsidRDefault="003A137E" w:rsidP="003A137E">
            <w:pPr>
              <w:numPr>
                <w:ilvl w:val="0"/>
                <w:numId w:val="1"/>
              </w:numPr>
              <w:ind w:left="176" w:hanging="176"/>
              <w:contextualSpacing/>
              <w:rPr>
                <w:sz w:val="18"/>
                <w:szCs w:val="18"/>
              </w:rPr>
            </w:pPr>
            <w:r w:rsidRPr="003A137E">
              <w:rPr>
                <w:sz w:val="18"/>
                <w:szCs w:val="18"/>
              </w:rPr>
              <w:t>Lad eleverne arbejde i mindre grupper med opgaverne.</w:t>
            </w:r>
          </w:p>
          <w:p w:rsidR="003A137E" w:rsidRPr="003A137E" w:rsidRDefault="003A137E" w:rsidP="003A137E">
            <w:pPr>
              <w:numPr>
                <w:ilvl w:val="0"/>
                <w:numId w:val="1"/>
              </w:numPr>
              <w:ind w:left="176" w:hanging="176"/>
              <w:contextualSpacing/>
              <w:rPr>
                <w:sz w:val="18"/>
                <w:szCs w:val="18"/>
              </w:rPr>
            </w:pPr>
            <w:r w:rsidRPr="003A137E">
              <w:rPr>
                <w:sz w:val="18"/>
                <w:szCs w:val="18"/>
              </w:rPr>
              <w:t>Lav fælles opsamling på klassen og samtal om, hvordan livet må være for et barn, der flygter. Hvad kan man være bange for? Hvad kan man håbe på i det nye land, og hvad kan være vanskeligt?</w:t>
            </w:r>
          </w:p>
        </w:tc>
        <w:tc>
          <w:tcPr>
            <w:tcW w:w="3050" w:type="dxa"/>
          </w:tcPr>
          <w:p w:rsidR="003A137E" w:rsidRPr="003A137E" w:rsidRDefault="003A137E" w:rsidP="003A137E">
            <w:pPr>
              <w:rPr>
                <w:sz w:val="20"/>
              </w:rPr>
            </w:pPr>
          </w:p>
        </w:tc>
      </w:tr>
      <w:tr w:rsidR="003A137E" w:rsidRPr="003A137E" w:rsidTr="007537CF">
        <w:tc>
          <w:tcPr>
            <w:tcW w:w="1007" w:type="dxa"/>
          </w:tcPr>
          <w:p w:rsidR="003A137E" w:rsidRPr="003A137E" w:rsidRDefault="003A137E" w:rsidP="003A137E">
            <w:pPr>
              <w:rPr>
                <w:sz w:val="20"/>
              </w:rPr>
            </w:pPr>
            <w:r w:rsidRPr="003A137E">
              <w:rPr>
                <w:sz w:val="20"/>
              </w:rPr>
              <w:t>3</w:t>
            </w:r>
          </w:p>
          <w:p w:rsidR="003A137E" w:rsidRPr="003A137E" w:rsidRDefault="003A137E" w:rsidP="003A137E">
            <w:pPr>
              <w:rPr>
                <w:sz w:val="20"/>
              </w:rPr>
            </w:pPr>
            <w:r w:rsidRPr="003A137E">
              <w:rPr>
                <w:sz w:val="20"/>
              </w:rPr>
              <w:t>(2 lektioner)</w:t>
            </w:r>
          </w:p>
        </w:tc>
        <w:tc>
          <w:tcPr>
            <w:tcW w:w="2691" w:type="dxa"/>
          </w:tcPr>
          <w:p w:rsidR="003A137E" w:rsidRPr="003A137E" w:rsidRDefault="003A137E" w:rsidP="003A137E">
            <w:pPr>
              <w:rPr>
                <w:sz w:val="18"/>
                <w:szCs w:val="18"/>
              </w:rPr>
            </w:pPr>
            <w:r w:rsidRPr="003A137E">
              <w:rPr>
                <w:sz w:val="18"/>
                <w:szCs w:val="18"/>
              </w:rPr>
              <w:t>Flygtninge i fortiden</w:t>
            </w:r>
          </w:p>
        </w:tc>
        <w:tc>
          <w:tcPr>
            <w:tcW w:w="2692" w:type="dxa"/>
          </w:tcPr>
          <w:p w:rsidR="003A137E" w:rsidRPr="003A137E" w:rsidRDefault="003A137E" w:rsidP="003A137E">
            <w:r w:rsidRPr="003A137E">
              <w:rPr>
                <w:sz w:val="18"/>
                <w:szCs w:val="18"/>
              </w:rPr>
              <w:t>Eleven kan læse enkle historiske kilder og udtrykke sig sprogligt enkelt om deres indhold</w:t>
            </w:r>
          </w:p>
        </w:tc>
        <w:tc>
          <w:tcPr>
            <w:tcW w:w="2548" w:type="dxa"/>
          </w:tcPr>
          <w:p w:rsidR="003A137E" w:rsidRPr="003A137E" w:rsidRDefault="003A137E" w:rsidP="003A137E">
            <w:pPr>
              <w:rPr>
                <w:sz w:val="18"/>
                <w:szCs w:val="18"/>
              </w:rPr>
            </w:pPr>
            <w:r w:rsidRPr="003A137E">
              <w:rPr>
                <w:sz w:val="18"/>
                <w:szCs w:val="18"/>
              </w:rPr>
              <w:t>Eleven kan</w:t>
            </w:r>
          </w:p>
          <w:p w:rsidR="003A137E" w:rsidRPr="003A137E" w:rsidRDefault="003A137E" w:rsidP="003A137E">
            <w:pPr>
              <w:numPr>
                <w:ilvl w:val="0"/>
                <w:numId w:val="4"/>
              </w:numPr>
              <w:contextualSpacing/>
              <w:rPr>
                <w:sz w:val="18"/>
                <w:szCs w:val="18"/>
              </w:rPr>
            </w:pPr>
            <w:r w:rsidRPr="003A137E">
              <w:rPr>
                <w:sz w:val="18"/>
                <w:szCs w:val="18"/>
              </w:rPr>
              <w:t xml:space="preserve">kan forklare Push &amp; </w:t>
            </w:r>
            <w:proofErr w:type="spellStart"/>
            <w:r w:rsidRPr="003A137E">
              <w:rPr>
                <w:sz w:val="18"/>
                <w:szCs w:val="18"/>
              </w:rPr>
              <w:t>Pull</w:t>
            </w:r>
            <w:proofErr w:type="spellEnd"/>
          </w:p>
          <w:p w:rsidR="003A137E" w:rsidRPr="003A137E" w:rsidRDefault="003A137E" w:rsidP="003A137E">
            <w:pPr>
              <w:numPr>
                <w:ilvl w:val="0"/>
                <w:numId w:val="4"/>
              </w:numPr>
              <w:contextualSpacing/>
              <w:rPr>
                <w:sz w:val="18"/>
                <w:szCs w:val="18"/>
              </w:rPr>
            </w:pPr>
            <w:r w:rsidRPr="003A137E">
              <w:rPr>
                <w:sz w:val="18"/>
                <w:szCs w:val="18"/>
              </w:rPr>
              <w:t>kan forklare, hvordan folkevandringer fandt sted i bronzealderen</w:t>
            </w:r>
          </w:p>
          <w:p w:rsidR="003A137E" w:rsidRPr="003A137E" w:rsidRDefault="003A137E" w:rsidP="003A137E">
            <w:pPr>
              <w:numPr>
                <w:ilvl w:val="0"/>
                <w:numId w:val="4"/>
              </w:numPr>
              <w:contextualSpacing/>
              <w:rPr>
                <w:sz w:val="18"/>
                <w:szCs w:val="18"/>
              </w:rPr>
            </w:pPr>
            <w:r w:rsidRPr="003A137E">
              <w:rPr>
                <w:sz w:val="18"/>
                <w:szCs w:val="18"/>
              </w:rPr>
              <w:t>kan forklare, hvordan folkevandringer fandt sted i vikingetiden</w:t>
            </w:r>
          </w:p>
        </w:tc>
        <w:tc>
          <w:tcPr>
            <w:tcW w:w="3464" w:type="dxa"/>
          </w:tcPr>
          <w:p w:rsidR="003A137E" w:rsidRPr="003A137E" w:rsidRDefault="003A137E" w:rsidP="003A137E">
            <w:pPr>
              <w:numPr>
                <w:ilvl w:val="0"/>
                <w:numId w:val="2"/>
              </w:numPr>
              <w:ind w:left="176" w:hanging="176"/>
              <w:contextualSpacing/>
              <w:rPr>
                <w:sz w:val="18"/>
                <w:szCs w:val="18"/>
              </w:rPr>
            </w:pPr>
            <w:r w:rsidRPr="003A137E">
              <w:rPr>
                <w:sz w:val="18"/>
                <w:szCs w:val="18"/>
              </w:rPr>
              <w:t>Brug bilag 3. Læs den indledende tekst i fællesskab.</w:t>
            </w:r>
          </w:p>
          <w:p w:rsidR="003A137E" w:rsidRPr="003A137E" w:rsidRDefault="003A137E" w:rsidP="003A137E">
            <w:pPr>
              <w:numPr>
                <w:ilvl w:val="0"/>
                <w:numId w:val="2"/>
              </w:numPr>
              <w:ind w:left="176" w:hanging="176"/>
              <w:contextualSpacing/>
              <w:rPr>
                <w:sz w:val="18"/>
                <w:szCs w:val="18"/>
              </w:rPr>
            </w:pPr>
            <w:r w:rsidRPr="003A137E">
              <w:rPr>
                <w:sz w:val="18"/>
                <w:szCs w:val="18"/>
              </w:rPr>
              <w:t xml:space="preserve">Lad herefter eleverne gå på nettet eller kopier evt. siden fra Nationalmuseet. Eleverne besvarer parvis spørgsmålene. </w:t>
            </w:r>
          </w:p>
          <w:p w:rsidR="003A137E" w:rsidRPr="003A137E" w:rsidRDefault="003A137E" w:rsidP="003A137E">
            <w:pPr>
              <w:numPr>
                <w:ilvl w:val="0"/>
                <w:numId w:val="2"/>
              </w:numPr>
              <w:ind w:left="176" w:hanging="176"/>
              <w:contextualSpacing/>
              <w:rPr>
                <w:sz w:val="18"/>
                <w:szCs w:val="18"/>
              </w:rPr>
            </w:pPr>
            <w:r w:rsidRPr="003A137E">
              <w:rPr>
                <w:sz w:val="18"/>
                <w:szCs w:val="18"/>
              </w:rPr>
              <w:t xml:space="preserve">Opsamling på spørgsmålene. </w:t>
            </w:r>
          </w:p>
          <w:p w:rsidR="003A137E" w:rsidRPr="003A137E" w:rsidRDefault="003A137E" w:rsidP="003A137E">
            <w:pPr>
              <w:numPr>
                <w:ilvl w:val="0"/>
                <w:numId w:val="2"/>
              </w:numPr>
              <w:ind w:left="176" w:hanging="176"/>
              <w:contextualSpacing/>
              <w:rPr>
                <w:sz w:val="18"/>
                <w:szCs w:val="18"/>
              </w:rPr>
            </w:pPr>
            <w:r w:rsidRPr="003A137E">
              <w:rPr>
                <w:sz w:val="18"/>
                <w:szCs w:val="18"/>
              </w:rPr>
              <w:t>Afsluttende samtale; Hvad ved vi om folkevandringer før og nu? Vil der altid være mennesker, der flygter væk fra noget? Kan folkevandringer også være godt for de lande, der modtager dem?</w:t>
            </w:r>
          </w:p>
        </w:tc>
        <w:tc>
          <w:tcPr>
            <w:tcW w:w="3050" w:type="dxa"/>
          </w:tcPr>
          <w:p w:rsidR="003A137E" w:rsidRPr="003A137E" w:rsidRDefault="003A137E" w:rsidP="003A137E">
            <w:pPr>
              <w:rPr>
                <w:sz w:val="20"/>
              </w:rPr>
            </w:pPr>
          </w:p>
        </w:tc>
      </w:tr>
    </w:tbl>
    <w:p w:rsidR="003A137E" w:rsidRDefault="003A137E"/>
    <w:p w:rsidR="003A137E" w:rsidRDefault="003A137E" w:rsidP="003A137E">
      <w:r>
        <w:br w:type="page"/>
      </w:r>
    </w:p>
    <w:p w:rsidR="003A137E" w:rsidRDefault="003A137E">
      <w:pPr>
        <w:sectPr w:rsidR="003A137E" w:rsidSect="003A137E">
          <w:pgSz w:w="16838" w:h="11906" w:orient="landscape"/>
          <w:pgMar w:top="1134" w:right="1701" w:bottom="1134" w:left="1701" w:header="708" w:footer="708" w:gutter="0"/>
          <w:cols w:space="708"/>
          <w:docGrid w:linePitch="360"/>
        </w:sectPr>
      </w:pPr>
    </w:p>
    <w:p w:rsidR="003A137E" w:rsidRDefault="003A137E" w:rsidP="003A137E">
      <w:pPr>
        <w:pStyle w:val="Overskrift1"/>
      </w:pPr>
      <w:r>
        <w:t>Forslag til:</w:t>
      </w:r>
    </w:p>
    <w:p w:rsidR="003A137E" w:rsidRDefault="003A137E" w:rsidP="003A137E">
      <w:pPr>
        <w:spacing w:after="0"/>
      </w:pPr>
    </w:p>
    <w:p w:rsidR="003A137E" w:rsidRDefault="003A137E" w:rsidP="003A137E">
      <w:pPr>
        <w:pStyle w:val="Overskrift2"/>
      </w:pPr>
      <w:r>
        <w:t>Bevægelse</w:t>
      </w:r>
    </w:p>
    <w:p w:rsidR="003A137E" w:rsidRPr="00D25268" w:rsidRDefault="003A137E" w:rsidP="003A137E">
      <w:r>
        <w:t xml:space="preserve">Da forløbet inddrager vikingetiden kan undervisningen meget passede inddrage lege fra denne historiske tid. Tjek evt. følgende site </w:t>
      </w:r>
      <w:hyperlink r:id="rId6" w:history="1">
        <w:r w:rsidRPr="008D1CB7">
          <w:rPr>
            <w:rStyle w:val="Hyperlink"/>
          </w:rPr>
          <w:t>http://www.dafolo.dk/Vikingelege.4907.aspx</w:t>
        </w:r>
      </w:hyperlink>
      <w:r>
        <w:t xml:space="preserve"> </w:t>
      </w:r>
    </w:p>
    <w:p w:rsidR="003A137E" w:rsidRDefault="003A137E" w:rsidP="003A137E">
      <w:pPr>
        <w:pStyle w:val="Overskrift2"/>
      </w:pPr>
      <w:r>
        <w:t>Nærområdet som læringsrum</w:t>
      </w:r>
    </w:p>
    <w:p w:rsidR="003A137E" w:rsidRPr="006A2C20" w:rsidRDefault="003A137E" w:rsidP="003A137E">
      <w:pPr>
        <w:spacing w:after="0"/>
      </w:pPr>
      <w:r>
        <w:t xml:space="preserve">Hvis der i skolens nærhed findes et flygtningecenter, vil et besøg være oplagt. </w:t>
      </w:r>
    </w:p>
    <w:p w:rsidR="003A137E" w:rsidRDefault="003A137E" w:rsidP="003A137E">
      <w:pPr>
        <w:pStyle w:val="Overskrift1"/>
      </w:pPr>
      <w:r>
        <w:t>Øvrige gode råd og kommentarer</w:t>
      </w:r>
    </w:p>
    <w:p w:rsidR="003A137E" w:rsidRDefault="003A137E" w:rsidP="003A137E">
      <w:pPr>
        <w:spacing w:after="0"/>
      </w:pPr>
      <w:r>
        <w:t>I nogle klasser kan der sidde elever med flygtningeproblematikken meget tæt på. Det skal man naturligvis tage højde for.</w:t>
      </w:r>
    </w:p>
    <w:p w:rsidR="003A137E" w:rsidRDefault="003A137E" w:rsidP="003A137E">
      <w:r>
        <w:br w:type="page"/>
      </w:r>
    </w:p>
    <w:p w:rsidR="003A137E" w:rsidRPr="003A137E" w:rsidRDefault="003A137E" w:rsidP="003A137E">
      <w:pPr>
        <w:keepNext/>
        <w:keepLines/>
        <w:spacing w:before="200" w:after="0"/>
        <w:outlineLvl w:val="1"/>
        <w:rPr>
          <w:rFonts w:asciiTheme="majorHAnsi" w:eastAsiaTheme="majorEastAsia" w:hAnsiTheme="majorHAnsi" w:cstheme="majorBidi"/>
          <w:b/>
          <w:bCs/>
          <w:sz w:val="26"/>
          <w:szCs w:val="26"/>
          <w:lang w:eastAsia="da-DK"/>
        </w:rPr>
      </w:pPr>
      <w:r w:rsidRPr="003A137E">
        <w:rPr>
          <w:rFonts w:asciiTheme="majorHAnsi" w:eastAsiaTheme="majorEastAsia" w:hAnsiTheme="majorHAnsi" w:cstheme="majorBidi"/>
          <w:b/>
          <w:bCs/>
          <w:sz w:val="26"/>
          <w:szCs w:val="26"/>
          <w:lang w:eastAsia="da-DK"/>
        </w:rPr>
        <w:t>Bilag 1</w:t>
      </w:r>
    </w:p>
    <w:p w:rsidR="003A137E" w:rsidRPr="003A137E" w:rsidRDefault="003A137E" w:rsidP="003A137E">
      <w:pPr>
        <w:spacing w:after="0"/>
        <w:jc w:val="center"/>
        <w:rPr>
          <w:rFonts w:eastAsiaTheme="minorEastAsia"/>
          <w:sz w:val="44"/>
          <w:szCs w:val="44"/>
          <w:lang w:eastAsia="da-DK"/>
        </w:rPr>
      </w:pPr>
    </w:p>
    <w:p w:rsidR="003A137E" w:rsidRPr="003A137E" w:rsidRDefault="003A137E" w:rsidP="003A137E">
      <w:pPr>
        <w:keepNext/>
        <w:spacing w:after="0"/>
        <w:jc w:val="center"/>
        <w:rPr>
          <w:rFonts w:eastAsiaTheme="minorEastAsia"/>
          <w:lang w:eastAsia="da-DK"/>
        </w:rPr>
      </w:pPr>
      <w:r w:rsidRPr="003A137E">
        <w:rPr>
          <w:rFonts w:eastAsiaTheme="minorEastAsia"/>
          <w:noProof/>
          <w:sz w:val="44"/>
          <w:szCs w:val="44"/>
          <w:lang w:eastAsia="da-DK"/>
        </w:rPr>
        <w:drawing>
          <wp:inline distT="0" distB="0" distL="0" distR="0" wp14:anchorId="31E19CDD" wp14:editId="374B9A76">
            <wp:extent cx="2899729" cy="305849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13233-immigration-people-on-europe-map-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9729" cy="3058498"/>
                    </a:xfrm>
                    <a:prstGeom prst="rect">
                      <a:avLst/>
                    </a:prstGeom>
                  </pic:spPr>
                </pic:pic>
              </a:graphicData>
            </a:graphic>
          </wp:inline>
        </w:drawing>
      </w:r>
    </w:p>
    <w:p w:rsidR="003A137E" w:rsidRPr="003A137E" w:rsidRDefault="003A137E" w:rsidP="003A137E">
      <w:pPr>
        <w:spacing w:line="240" w:lineRule="auto"/>
        <w:jc w:val="center"/>
        <w:rPr>
          <w:rFonts w:eastAsiaTheme="minorEastAsia"/>
          <w:b/>
          <w:bCs/>
          <w:color w:val="4F81BD" w:themeColor="accent1"/>
          <w:sz w:val="18"/>
          <w:szCs w:val="18"/>
          <w:lang w:eastAsia="da-DK"/>
        </w:rPr>
      </w:pPr>
      <w:r w:rsidRPr="003A137E">
        <w:rPr>
          <w:rFonts w:eastAsiaTheme="minorEastAsia"/>
          <w:b/>
          <w:bCs/>
          <w:color w:val="4F81BD" w:themeColor="accent1"/>
          <w:sz w:val="18"/>
          <w:szCs w:val="18"/>
          <w:lang w:eastAsia="da-DK"/>
        </w:rPr>
        <w:t xml:space="preserve">Figur </w:t>
      </w:r>
      <w:r w:rsidRPr="003A137E">
        <w:rPr>
          <w:rFonts w:eastAsiaTheme="minorEastAsia"/>
          <w:b/>
          <w:bCs/>
          <w:color w:val="4F81BD" w:themeColor="accent1"/>
          <w:sz w:val="18"/>
          <w:szCs w:val="18"/>
          <w:lang w:eastAsia="da-DK"/>
        </w:rPr>
        <w:fldChar w:fldCharType="begin"/>
      </w:r>
      <w:r w:rsidRPr="003A137E">
        <w:rPr>
          <w:rFonts w:eastAsiaTheme="minorEastAsia"/>
          <w:b/>
          <w:bCs/>
          <w:color w:val="4F81BD" w:themeColor="accent1"/>
          <w:sz w:val="18"/>
          <w:szCs w:val="18"/>
          <w:lang w:eastAsia="da-DK"/>
        </w:rPr>
        <w:instrText xml:space="preserve"> SEQ Figur \* ARABIC </w:instrText>
      </w:r>
      <w:r w:rsidRPr="003A137E">
        <w:rPr>
          <w:rFonts w:eastAsiaTheme="minorEastAsia"/>
          <w:b/>
          <w:bCs/>
          <w:color w:val="4F81BD" w:themeColor="accent1"/>
          <w:sz w:val="18"/>
          <w:szCs w:val="18"/>
          <w:lang w:eastAsia="da-DK"/>
        </w:rPr>
        <w:fldChar w:fldCharType="separate"/>
      </w:r>
      <w:r w:rsidRPr="003A137E">
        <w:rPr>
          <w:rFonts w:eastAsiaTheme="minorEastAsia"/>
          <w:b/>
          <w:bCs/>
          <w:noProof/>
          <w:color w:val="4F81BD" w:themeColor="accent1"/>
          <w:sz w:val="18"/>
          <w:szCs w:val="18"/>
          <w:lang w:eastAsia="da-DK"/>
        </w:rPr>
        <w:t>1</w:t>
      </w:r>
      <w:r w:rsidRPr="003A137E">
        <w:rPr>
          <w:rFonts w:eastAsiaTheme="minorEastAsia"/>
          <w:b/>
          <w:bCs/>
          <w:noProof/>
          <w:color w:val="4F81BD" w:themeColor="accent1"/>
          <w:sz w:val="18"/>
          <w:szCs w:val="18"/>
          <w:lang w:eastAsia="da-DK"/>
        </w:rPr>
        <w:fldChar w:fldCharType="end"/>
      </w:r>
      <w:r w:rsidRPr="003A137E">
        <w:rPr>
          <w:rFonts w:eastAsiaTheme="minorEastAsia"/>
          <w:b/>
          <w:bCs/>
          <w:color w:val="4F81BD" w:themeColor="accent1"/>
          <w:sz w:val="18"/>
          <w:szCs w:val="18"/>
          <w:lang w:eastAsia="da-DK"/>
        </w:rPr>
        <w:t xml:space="preserve"> Fra </w:t>
      </w:r>
      <w:proofErr w:type="spellStart"/>
      <w:r w:rsidRPr="003A137E">
        <w:rPr>
          <w:rFonts w:eastAsiaTheme="minorEastAsia"/>
          <w:b/>
          <w:bCs/>
          <w:color w:val="4F81BD" w:themeColor="accent1"/>
          <w:sz w:val="18"/>
          <w:szCs w:val="18"/>
          <w:lang w:eastAsia="da-DK"/>
        </w:rPr>
        <w:t>Colourbox</w:t>
      </w:r>
      <w:proofErr w:type="spellEnd"/>
    </w:p>
    <w:p w:rsidR="003A137E" w:rsidRPr="003A137E" w:rsidRDefault="003A137E" w:rsidP="003A137E">
      <w:pPr>
        <w:spacing w:after="0"/>
        <w:jc w:val="center"/>
        <w:rPr>
          <w:rFonts w:eastAsiaTheme="minorEastAsia"/>
          <w:sz w:val="18"/>
          <w:szCs w:val="18"/>
          <w:lang w:eastAsia="da-DK"/>
        </w:rPr>
      </w:pPr>
    </w:p>
    <w:p w:rsidR="003A137E" w:rsidRPr="003A137E" w:rsidRDefault="003A137E" w:rsidP="003A137E">
      <w:pPr>
        <w:spacing w:after="0"/>
        <w:rPr>
          <w:rFonts w:eastAsiaTheme="minorEastAsia"/>
          <w:sz w:val="24"/>
          <w:szCs w:val="24"/>
          <w:lang w:eastAsia="da-DK"/>
        </w:rPr>
      </w:pPr>
    </w:p>
    <w:p w:rsidR="003A137E" w:rsidRPr="003A137E" w:rsidRDefault="003A137E" w:rsidP="003A137E">
      <w:pPr>
        <w:spacing w:after="0"/>
        <w:rPr>
          <w:rFonts w:eastAsiaTheme="minorEastAsia"/>
          <w:sz w:val="24"/>
          <w:szCs w:val="24"/>
          <w:lang w:eastAsia="da-DK"/>
        </w:rPr>
      </w:pPr>
    </w:p>
    <w:p w:rsidR="003A137E" w:rsidRPr="003A137E" w:rsidRDefault="003A137E" w:rsidP="003A137E">
      <w:pPr>
        <w:spacing w:after="0"/>
        <w:rPr>
          <w:rFonts w:eastAsiaTheme="minorEastAsia"/>
          <w:sz w:val="32"/>
          <w:szCs w:val="32"/>
          <w:lang w:eastAsia="da-DK"/>
        </w:rPr>
      </w:pPr>
      <w:r w:rsidRPr="003A137E">
        <w:rPr>
          <w:rFonts w:eastAsiaTheme="minorEastAsia"/>
          <w:sz w:val="32"/>
          <w:szCs w:val="32"/>
          <w:lang w:eastAsia="da-DK"/>
        </w:rPr>
        <w:t>Hvad ser man på billedet?</w:t>
      </w:r>
    </w:p>
    <w:p w:rsidR="003A137E" w:rsidRPr="003A137E" w:rsidRDefault="003A137E" w:rsidP="003A137E">
      <w:pPr>
        <w:spacing w:after="0"/>
        <w:rPr>
          <w:rFonts w:eastAsiaTheme="minorEastAsia"/>
          <w:sz w:val="32"/>
          <w:szCs w:val="32"/>
          <w:lang w:eastAsia="da-DK"/>
        </w:rPr>
      </w:pPr>
    </w:p>
    <w:p w:rsidR="003A137E" w:rsidRPr="003A137E" w:rsidRDefault="003A137E" w:rsidP="003A137E">
      <w:pPr>
        <w:spacing w:after="0"/>
        <w:rPr>
          <w:rFonts w:eastAsiaTheme="minorEastAsia"/>
          <w:sz w:val="32"/>
          <w:szCs w:val="32"/>
          <w:lang w:eastAsia="da-DK"/>
        </w:rPr>
      </w:pPr>
    </w:p>
    <w:p w:rsidR="003A137E" w:rsidRPr="003A137E" w:rsidRDefault="003A137E" w:rsidP="003A137E">
      <w:pPr>
        <w:spacing w:after="0"/>
        <w:rPr>
          <w:rFonts w:eastAsiaTheme="minorEastAsia"/>
          <w:sz w:val="32"/>
          <w:szCs w:val="32"/>
          <w:lang w:eastAsia="da-DK"/>
        </w:rPr>
      </w:pPr>
      <w:r w:rsidRPr="003A137E">
        <w:rPr>
          <w:rFonts w:eastAsiaTheme="minorEastAsia"/>
          <w:sz w:val="32"/>
          <w:szCs w:val="32"/>
          <w:lang w:eastAsia="da-DK"/>
        </w:rPr>
        <w:t>Hvad tror du afsenderen af billedet vil fortælle med billedet?</w:t>
      </w:r>
    </w:p>
    <w:p w:rsidR="003A137E" w:rsidRPr="003A137E" w:rsidRDefault="003A137E" w:rsidP="003A137E">
      <w:pPr>
        <w:spacing w:after="0"/>
        <w:rPr>
          <w:rFonts w:eastAsiaTheme="minorEastAsia"/>
          <w:sz w:val="32"/>
          <w:szCs w:val="32"/>
          <w:lang w:eastAsia="da-DK"/>
        </w:rPr>
      </w:pPr>
    </w:p>
    <w:p w:rsidR="003A137E" w:rsidRPr="003A137E" w:rsidRDefault="003A137E" w:rsidP="003A137E">
      <w:pPr>
        <w:spacing w:after="0"/>
        <w:rPr>
          <w:rFonts w:eastAsiaTheme="minorEastAsia"/>
          <w:sz w:val="32"/>
          <w:szCs w:val="32"/>
          <w:lang w:eastAsia="da-DK"/>
        </w:rPr>
      </w:pPr>
    </w:p>
    <w:p w:rsidR="003A137E" w:rsidRPr="003A137E" w:rsidRDefault="003A137E" w:rsidP="003A137E">
      <w:pPr>
        <w:spacing w:after="0"/>
        <w:rPr>
          <w:rFonts w:eastAsiaTheme="minorEastAsia"/>
          <w:sz w:val="32"/>
          <w:szCs w:val="32"/>
          <w:lang w:eastAsia="da-DK"/>
        </w:rPr>
      </w:pPr>
      <w:r w:rsidRPr="003A137E">
        <w:rPr>
          <w:rFonts w:eastAsiaTheme="minorEastAsia"/>
          <w:sz w:val="32"/>
          <w:szCs w:val="32"/>
          <w:lang w:eastAsia="da-DK"/>
        </w:rPr>
        <w:t>Nævn 3 grunde til at mennesker flygter fra et land til et andet?</w:t>
      </w:r>
    </w:p>
    <w:p w:rsidR="003A137E" w:rsidRPr="003A137E" w:rsidRDefault="003A137E" w:rsidP="003A137E">
      <w:pPr>
        <w:spacing w:after="0"/>
        <w:rPr>
          <w:rFonts w:eastAsiaTheme="minorEastAsia"/>
          <w:sz w:val="32"/>
          <w:szCs w:val="32"/>
          <w:lang w:eastAsia="da-DK"/>
        </w:rPr>
      </w:pPr>
    </w:p>
    <w:p w:rsidR="003A137E" w:rsidRPr="003A137E" w:rsidRDefault="003A137E" w:rsidP="003A137E">
      <w:pPr>
        <w:spacing w:after="0"/>
        <w:rPr>
          <w:rFonts w:eastAsiaTheme="minorEastAsia"/>
          <w:sz w:val="32"/>
          <w:szCs w:val="32"/>
          <w:lang w:eastAsia="da-DK"/>
        </w:rPr>
      </w:pPr>
    </w:p>
    <w:p w:rsidR="003A137E" w:rsidRPr="003A137E" w:rsidRDefault="003A137E" w:rsidP="003A137E">
      <w:pPr>
        <w:spacing w:after="0"/>
        <w:rPr>
          <w:rFonts w:eastAsiaTheme="minorEastAsia"/>
          <w:sz w:val="32"/>
          <w:szCs w:val="32"/>
          <w:lang w:eastAsia="da-DK"/>
        </w:rPr>
      </w:pPr>
      <w:r w:rsidRPr="003A137E">
        <w:rPr>
          <w:rFonts w:eastAsiaTheme="minorEastAsia"/>
          <w:sz w:val="32"/>
          <w:szCs w:val="32"/>
          <w:lang w:eastAsia="da-DK"/>
        </w:rPr>
        <w:t>Nævn 3 grunde til at Danmark er et godt land at bo i?</w:t>
      </w:r>
    </w:p>
    <w:p w:rsidR="003A137E" w:rsidRDefault="003A137E">
      <w:r>
        <w:br w:type="page"/>
      </w:r>
    </w:p>
    <w:p w:rsidR="003A137E" w:rsidRPr="003A137E" w:rsidRDefault="003A137E" w:rsidP="003A137E">
      <w:pPr>
        <w:keepNext/>
        <w:keepLines/>
        <w:spacing w:before="200" w:after="0"/>
        <w:outlineLvl w:val="1"/>
        <w:rPr>
          <w:rFonts w:asciiTheme="majorHAnsi" w:eastAsiaTheme="majorEastAsia" w:hAnsiTheme="majorHAnsi" w:cstheme="majorBidi"/>
          <w:b/>
          <w:bCs/>
          <w:sz w:val="26"/>
          <w:szCs w:val="26"/>
          <w:lang w:eastAsia="da-DK"/>
        </w:rPr>
      </w:pPr>
      <w:bookmarkStart w:id="0" w:name="_GoBack"/>
      <w:bookmarkEnd w:id="0"/>
      <w:r w:rsidRPr="003A137E">
        <w:rPr>
          <w:rFonts w:asciiTheme="majorHAnsi" w:eastAsiaTheme="majorEastAsia" w:hAnsiTheme="majorHAnsi" w:cstheme="majorBidi"/>
          <w:b/>
          <w:bCs/>
          <w:sz w:val="26"/>
          <w:szCs w:val="26"/>
          <w:lang w:eastAsia="da-DK"/>
        </w:rPr>
        <w:t>Bilag 2</w:t>
      </w:r>
    </w:p>
    <w:p w:rsidR="003A137E" w:rsidRPr="003A137E" w:rsidRDefault="003A137E" w:rsidP="003A137E">
      <w:pPr>
        <w:rPr>
          <w:rFonts w:eastAsiaTheme="minorEastAsia"/>
          <w:lang w:eastAsia="da-DK"/>
        </w:rPr>
      </w:pPr>
    </w:p>
    <w:p w:rsidR="003A137E" w:rsidRPr="003A137E" w:rsidRDefault="003A137E" w:rsidP="003A137E">
      <w:pPr>
        <w:jc w:val="center"/>
        <w:rPr>
          <w:rFonts w:eastAsiaTheme="minorEastAsia"/>
          <w:b/>
          <w:sz w:val="36"/>
          <w:szCs w:val="36"/>
          <w:lang w:eastAsia="da-DK"/>
        </w:rPr>
      </w:pPr>
      <w:r w:rsidRPr="003A137E">
        <w:rPr>
          <w:rFonts w:eastAsiaTheme="minorEastAsia"/>
          <w:b/>
          <w:sz w:val="36"/>
          <w:szCs w:val="36"/>
          <w:lang w:eastAsia="da-DK"/>
        </w:rPr>
        <w:t>JAMILA, GID JEG KUNNE FLYVE</w:t>
      </w:r>
    </w:p>
    <w:p w:rsidR="003A137E" w:rsidRPr="003A137E" w:rsidRDefault="003A137E" w:rsidP="003A137E">
      <w:pPr>
        <w:rPr>
          <w:rFonts w:eastAsiaTheme="minorEastAsia"/>
          <w:lang w:eastAsia="da-DK"/>
        </w:rPr>
      </w:pPr>
    </w:p>
    <w:p w:rsidR="003A137E" w:rsidRPr="003A137E" w:rsidRDefault="003A137E" w:rsidP="003A137E">
      <w:pPr>
        <w:keepNext/>
        <w:jc w:val="center"/>
        <w:rPr>
          <w:rFonts w:eastAsiaTheme="minorEastAsia"/>
          <w:lang w:eastAsia="da-DK"/>
        </w:rPr>
      </w:pPr>
      <w:r w:rsidRPr="003A137E">
        <w:rPr>
          <w:rFonts w:eastAsiaTheme="minorEastAsia"/>
          <w:noProof/>
          <w:lang w:eastAsia="da-DK"/>
        </w:rPr>
        <w:drawing>
          <wp:inline distT="0" distB="0" distL="0" distR="0" wp14:anchorId="02742B5B" wp14:editId="3DAFF4DD">
            <wp:extent cx="4456430" cy="2506568"/>
            <wp:effectExtent l="0" t="0" r="0" b="825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_20130905-10583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6430" cy="2506568"/>
                    </a:xfrm>
                    <a:prstGeom prst="rect">
                      <a:avLst/>
                    </a:prstGeom>
                  </pic:spPr>
                </pic:pic>
              </a:graphicData>
            </a:graphic>
          </wp:inline>
        </w:drawing>
      </w:r>
    </w:p>
    <w:p w:rsidR="003A137E" w:rsidRPr="003A137E" w:rsidRDefault="003A137E" w:rsidP="003A137E">
      <w:pPr>
        <w:spacing w:line="240" w:lineRule="auto"/>
        <w:jc w:val="center"/>
        <w:rPr>
          <w:rFonts w:eastAsiaTheme="minorEastAsia"/>
          <w:b/>
          <w:bCs/>
          <w:color w:val="4F81BD" w:themeColor="accent1"/>
          <w:sz w:val="18"/>
          <w:szCs w:val="18"/>
          <w:lang w:eastAsia="da-DK"/>
        </w:rPr>
      </w:pPr>
      <w:r w:rsidRPr="003A137E">
        <w:rPr>
          <w:rFonts w:eastAsiaTheme="minorEastAsia"/>
          <w:b/>
          <w:bCs/>
          <w:color w:val="4F81BD" w:themeColor="accent1"/>
          <w:sz w:val="18"/>
          <w:szCs w:val="18"/>
          <w:lang w:eastAsia="da-DK"/>
        </w:rPr>
        <w:t xml:space="preserve">Figur </w:t>
      </w:r>
      <w:r w:rsidRPr="003A137E">
        <w:rPr>
          <w:rFonts w:eastAsiaTheme="minorEastAsia"/>
          <w:b/>
          <w:bCs/>
          <w:color w:val="4F81BD" w:themeColor="accent1"/>
          <w:sz w:val="18"/>
          <w:szCs w:val="18"/>
          <w:lang w:eastAsia="da-DK"/>
        </w:rPr>
        <w:fldChar w:fldCharType="begin"/>
      </w:r>
      <w:r w:rsidRPr="003A137E">
        <w:rPr>
          <w:rFonts w:eastAsiaTheme="minorEastAsia"/>
          <w:b/>
          <w:bCs/>
          <w:color w:val="4F81BD" w:themeColor="accent1"/>
          <w:sz w:val="18"/>
          <w:szCs w:val="18"/>
          <w:lang w:eastAsia="da-DK"/>
        </w:rPr>
        <w:instrText xml:space="preserve"> SEQ Figur \* ARABIC </w:instrText>
      </w:r>
      <w:r w:rsidRPr="003A137E">
        <w:rPr>
          <w:rFonts w:eastAsiaTheme="minorEastAsia"/>
          <w:b/>
          <w:bCs/>
          <w:color w:val="4F81BD" w:themeColor="accent1"/>
          <w:sz w:val="18"/>
          <w:szCs w:val="18"/>
          <w:lang w:eastAsia="da-DK"/>
        </w:rPr>
        <w:fldChar w:fldCharType="separate"/>
      </w:r>
      <w:r w:rsidRPr="003A137E">
        <w:rPr>
          <w:rFonts w:eastAsiaTheme="minorEastAsia"/>
          <w:b/>
          <w:bCs/>
          <w:noProof/>
          <w:color w:val="4F81BD" w:themeColor="accent1"/>
          <w:sz w:val="18"/>
          <w:szCs w:val="18"/>
          <w:lang w:eastAsia="da-DK"/>
        </w:rPr>
        <w:t>2</w:t>
      </w:r>
      <w:r w:rsidRPr="003A137E">
        <w:rPr>
          <w:rFonts w:eastAsiaTheme="minorEastAsia"/>
          <w:b/>
          <w:bCs/>
          <w:noProof/>
          <w:color w:val="4F81BD" w:themeColor="accent1"/>
          <w:sz w:val="18"/>
          <w:szCs w:val="18"/>
          <w:lang w:eastAsia="da-DK"/>
        </w:rPr>
        <w:fldChar w:fldCharType="end"/>
      </w:r>
      <w:r w:rsidRPr="003A137E">
        <w:rPr>
          <w:rFonts w:eastAsiaTheme="minorEastAsia"/>
          <w:b/>
          <w:bCs/>
          <w:color w:val="4F81BD" w:themeColor="accent1"/>
          <w:sz w:val="18"/>
          <w:szCs w:val="18"/>
          <w:lang w:eastAsia="da-DK"/>
        </w:rPr>
        <w:t xml:space="preserve"> Billedet er fra filmen: Jamilla, gid jeg kunne flyve</w:t>
      </w:r>
    </w:p>
    <w:p w:rsidR="003A137E" w:rsidRPr="003A137E" w:rsidRDefault="003A137E" w:rsidP="003A137E">
      <w:pPr>
        <w:rPr>
          <w:rFonts w:eastAsiaTheme="minorEastAsia"/>
          <w:sz w:val="28"/>
          <w:szCs w:val="28"/>
          <w:lang w:eastAsia="da-DK"/>
        </w:rPr>
      </w:pP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Hvorfor ser man så mange flyvemaskiner i starten af filmen?</w:t>
      </w: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Hvordan er livet i det flygtningecenter, hvor Jamila bor?</w:t>
      </w: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Hvor kommer Jamilas forældre fra?</w:t>
      </w: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Hvorfor bor de i Danmark?</w:t>
      </w: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Hvad gør Jamila ked af det?</w:t>
      </w: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Hvad gør Jamila glad?</w:t>
      </w: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Hvorfor vil hun gerne kunne flyve?</w:t>
      </w: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Kunne du tænke dig at bo samme sted som Jamila?</w:t>
      </w:r>
    </w:p>
    <w:p w:rsidR="003A137E" w:rsidRP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Hvor ville Jamila gerne bo?</w:t>
      </w:r>
    </w:p>
    <w:p w:rsidR="003A137E" w:rsidRDefault="003A137E" w:rsidP="003A137E">
      <w:pPr>
        <w:numPr>
          <w:ilvl w:val="0"/>
          <w:numId w:val="5"/>
        </w:numPr>
        <w:contextualSpacing/>
        <w:rPr>
          <w:rFonts w:eastAsiaTheme="minorEastAsia"/>
          <w:sz w:val="28"/>
          <w:szCs w:val="28"/>
          <w:lang w:eastAsia="da-DK"/>
        </w:rPr>
      </w:pPr>
      <w:r w:rsidRPr="003A137E">
        <w:rPr>
          <w:rFonts w:eastAsiaTheme="minorEastAsia"/>
          <w:sz w:val="28"/>
          <w:szCs w:val="28"/>
          <w:lang w:eastAsia="da-DK"/>
        </w:rPr>
        <w:t>Filmen slutter med et billede af den virkelige Jamila. Hvordan synes du, at man skal hjælpe flygtninge som Jamila, når de kommer til Danmark?</w:t>
      </w:r>
    </w:p>
    <w:p w:rsidR="003A137E" w:rsidRDefault="003A137E" w:rsidP="003A137E">
      <w:pPr>
        <w:rPr>
          <w:lang w:eastAsia="da-DK"/>
        </w:rPr>
      </w:pPr>
      <w:r>
        <w:rPr>
          <w:lang w:eastAsia="da-DK"/>
        </w:rPr>
        <w:br w:type="page"/>
      </w:r>
    </w:p>
    <w:p w:rsidR="003A137E" w:rsidRPr="003A137E" w:rsidRDefault="003A137E" w:rsidP="003A137E">
      <w:pPr>
        <w:keepNext/>
        <w:keepLines/>
        <w:spacing w:before="200" w:after="0"/>
        <w:outlineLvl w:val="1"/>
        <w:rPr>
          <w:rFonts w:asciiTheme="majorHAnsi" w:eastAsiaTheme="majorEastAsia" w:hAnsiTheme="majorHAnsi" w:cstheme="majorBidi"/>
          <w:b/>
          <w:bCs/>
          <w:sz w:val="26"/>
          <w:szCs w:val="26"/>
          <w:lang w:eastAsia="da-DK"/>
        </w:rPr>
      </w:pPr>
      <w:r w:rsidRPr="003A137E">
        <w:rPr>
          <w:rFonts w:asciiTheme="majorHAnsi" w:eastAsiaTheme="majorEastAsia" w:hAnsiTheme="majorHAnsi" w:cstheme="majorBidi"/>
          <w:b/>
          <w:bCs/>
          <w:sz w:val="26"/>
          <w:szCs w:val="26"/>
          <w:lang w:eastAsia="da-DK"/>
        </w:rPr>
        <w:t>Bilag 3</w:t>
      </w:r>
    </w:p>
    <w:p w:rsidR="003A137E" w:rsidRPr="003A137E" w:rsidRDefault="003A137E" w:rsidP="003A137E">
      <w:pPr>
        <w:rPr>
          <w:rFonts w:eastAsiaTheme="minorEastAsia"/>
          <w:lang w:eastAsia="da-DK"/>
        </w:rPr>
      </w:pP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 xml:space="preserve">I filmen om Jamila møder vi en pige, der er vokset op i et asylcenter I Danmark. Hun er født her i landet, men hendes forældre kommer fra et andet land, der ligger langt væk fra Danmark. Forældrene har på et tidspunkt måttet sige farvel til alt det de kender og elsker, fordi situationen i landet var alt for utryg og farlig. </w:t>
      </w: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 xml:space="preserve">Hvor forældrenes hjemland er i krig og derfor utryg og farlig, så er Danmark et land, som er fredeligt og trygt. Det ene land “skubber” med andre ord mennesker væk, mens andre lande “trækker” mennesker til. Man bruger ofte de engelske ord Push and </w:t>
      </w:r>
      <w:proofErr w:type="spellStart"/>
      <w:r w:rsidRPr="003A137E">
        <w:rPr>
          <w:rFonts w:eastAsiaTheme="minorEastAsia"/>
          <w:sz w:val="24"/>
          <w:szCs w:val="24"/>
          <w:lang w:eastAsia="da-DK"/>
        </w:rPr>
        <w:t>Pull</w:t>
      </w:r>
      <w:proofErr w:type="spellEnd"/>
      <w:r w:rsidRPr="003A137E">
        <w:rPr>
          <w:rFonts w:eastAsiaTheme="minorEastAsia"/>
          <w:sz w:val="24"/>
          <w:szCs w:val="24"/>
          <w:lang w:eastAsia="da-DK"/>
        </w:rPr>
        <w:t xml:space="preserve">, når man vil beskrive, at flokke af mennesker flytter fra et land til et andet. Mennesker kan ”skubbes” væk fra deres land af mange andre grunde end krig. Det kan også være sult, fattigdom, naturkatastrofer, arbejdsløshed og meget andet. Danmark er et land, der ligger i Europa på den nordlige del af kloden. Europa er et af de rigeste og fredeligste områder i verden. Rejser man længere ned mod syd, finder man en del lande, hvor der er krig, sult og fattigdom. Derfor vandrer mange mennesker fra syd mod nord i håbet om at få et bedre liv. Det er grunden til, at Jamilas familie er havnet i Danmark. Af de samme grunde kommer mange andre familier til Danmark sydfra. </w:t>
      </w: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Nu skulle man måske tro, at rigdom og tryghed altid findes nordpå og fattigdom og utryghed sydpå. Push-</w:t>
      </w:r>
      <w:proofErr w:type="spellStart"/>
      <w:r w:rsidRPr="003A137E">
        <w:rPr>
          <w:rFonts w:eastAsiaTheme="minorEastAsia"/>
          <w:sz w:val="24"/>
          <w:szCs w:val="24"/>
          <w:lang w:eastAsia="da-DK"/>
        </w:rPr>
        <w:t>Pull</w:t>
      </w:r>
      <w:proofErr w:type="spellEnd"/>
      <w:r w:rsidRPr="003A137E">
        <w:rPr>
          <w:rFonts w:eastAsiaTheme="minorEastAsia"/>
          <w:sz w:val="24"/>
          <w:szCs w:val="24"/>
          <w:lang w:eastAsia="da-DK"/>
        </w:rPr>
        <w:t xml:space="preserve"> effekten har altid eksisteret i historien, det vil sige, mennesker har altid vandret for at overleve. Nogle gange fra syd mod nord og andre gange omvendt.</w:t>
      </w: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Mange af de mennesker, der kommer til Europa i disse år, stammer fra lande i Mellemøsten og Nordafrika.</w:t>
      </w:r>
    </w:p>
    <w:tbl>
      <w:tblPr>
        <w:tblStyle w:val="Tabel-Gitter"/>
        <w:tblW w:w="0" w:type="auto"/>
        <w:tblLook w:val="04A0" w:firstRow="1" w:lastRow="0" w:firstColumn="1" w:lastColumn="0" w:noHBand="0" w:noVBand="1"/>
      </w:tblPr>
      <w:tblGrid>
        <w:gridCol w:w="9778"/>
      </w:tblGrid>
      <w:tr w:rsidR="003A137E" w:rsidRPr="003A137E" w:rsidTr="007537CF">
        <w:tc>
          <w:tcPr>
            <w:tcW w:w="9778" w:type="dxa"/>
          </w:tcPr>
          <w:p w:rsidR="003A137E" w:rsidRPr="003A137E" w:rsidRDefault="003A137E" w:rsidP="003A137E">
            <w:pPr>
              <w:spacing w:line="360" w:lineRule="auto"/>
              <w:rPr>
                <w:sz w:val="24"/>
                <w:szCs w:val="24"/>
              </w:rPr>
            </w:pPr>
            <w:r w:rsidRPr="003A137E">
              <w:rPr>
                <w:sz w:val="24"/>
                <w:szCs w:val="24"/>
              </w:rPr>
              <w:t xml:space="preserve">Opgave.           </w:t>
            </w:r>
          </w:p>
          <w:p w:rsidR="003A137E" w:rsidRPr="003A137E" w:rsidRDefault="003A137E" w:rsidP="003A137E">
            <w:pPr>
              <w:spacing w:line="360" w:lineRule="auto"/>
              <w:rPr>
                <w:sz w:val="24"/>
                <w:szCs w:val="24"/>
              </w:rPr>
            </w:pPr>
            <w:r w:rsidRPr="003A137E">
              <w:rPr>
                <w:sz w:val="24"/>
                <w:szCs w:val="24"/>
              </w:rPr>
              <w:t xml:space="preserve">Find Europa, Middelhavet, Mellemøsten og Nordafrika på et kort. </w:t>
            </w:r>
          </w:p>
        </w:tc>
      </w:tr>
    </w:tbl>
    <w:p w:rsidR="003A137E" w:rsidRPr="003A137E" w:rsidRDefault="003A137E" w:rsidP="003A137E">
      <w:pPr>
        <w:spacing w:line="360" w:lineRule="auto"/>
        <w:rPr>
          <w:rFonts w:eastAsiaTheme="minorEastAsia"/>
          <w:sz w:val="24"/>
          <w:szCs w:val="24"/>
          <w:lang w:eastAsia="da-DK"/>
        </w:rPr>
      </w:pP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Hvis vi tager ca. 3.200 år tilbage i tiden, så var alting naturligvis anderledes. Det gælder også, når man ser på, hvor der var rigdom og tryghed, og hvor der var fattigdom og utryghed. Bronze var det dyrebareste, man kunne eje. Man brugte bronze til både våben og redskaber. Derfor kaldes tiden også for bronzealderen.</w:t>
      </w:r>
    </w:p>
    <w:tbl>
      <w:tblPr>
        <w:tblStyle w:val="Tabel-Gitter"/>
        <w:tblW w:w="0" w:type="auto"/>
        <w:tblLook w:val="04A0" w:firstRow="1" w:lastRow="0" w:firstColumn="1" w:lastColumn="0" w:noHBand="0" w:noVBand="1"/>
      </w:tblPr>
      <w:tblGrid>
        <w:gridCol w:w="9778"/>
      </w:tblGrid>
      <w:tr w:rsidR="003A137E" w:rsidRPr="003A137E" w:rsidTr="007537CF">
        <w:tc>
          <w:tcPr>
            <w:tcW w:w="9778" w:type="dxa"/>
          </w:tcPr>
          <w:p w:rsidR="003A137E" w:rsidRPr="003A137E" w:rsidRDefault="003A137E" w:rsidP="003A137E">
            <w:pPr>
              <w:spacing w:line="360" w:lineRule="auto"/>
              <w:rPr>
                <w:sz w:val="24"/>
                <w:szCs w:val="24"/>
              </w:rPr>
            </w:pPr>
            <w:r w:rsidRPr="003A137E">
              <w:rPr>
                <w:sz w:val="24"/>
                <w:szCs w:val="24"/>
              </w:rPr>
              <w:t>Opgave:</w:t>
            </w:r>
          </w:p>
          <w:p w:rsidR="003A137E" w:rsidRPr="003A137E" w:rsidRDefault="003A137E" w:rsidP="003A137E">
            <w:pPr>
              <w:spacing w:line="360" w:lineRule="auto"/>
              <w:rPr>
                <w:sz w:val="24"/>
                <w:szCs w:val="24"/>
              </w:rPr>
            </w:pPr>
            <w:r w:rsidRPr="003A137E">
              <w:rPr>
                <w:sz w:val="24"/>
                <w:szCs w:val="24"/>
              </w:rPr>
              <w:t>Over hvor lang en periode havde man bronzealder og hvad kalder man tiden, der kom efter?</w:t>
            </w:r>
          </w:p>
        </w:tc>
      </w:tr>
    </w:tbl>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 xml:space="preserve"> </w:t>
      </w: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Sydpå i landene omkring Middelhavet var der dengang god handel med bronze. Landene og byerne i Nordafrika og Mellemøsten blev meget rige. De hjalp og beskyttede hinanden, indtil de blev angrebet af store menneskemasser fra Europa. Egypterne kaldte dem for ”Havfolket,” fordi de kom sejlende i både og angreb de rige byer omkring Middelhavet en for en. Egypterne besejrede dem til sidst, men det var for sent. Freden og den gode handel var ødelagt af menneskemasserne fra nord.</w:t>
      </w: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I tiden efter bronzealderen er mange danskere også vandret væk fra landet og har fundet andre lande, der var mere tiltrækkende. Det kan man finde ud af ved fx at besøge Nationalmuseets hjemmeside. Her er der en side, der fortæller, hvordan og hvorfor danske og andre nordiske vikinger rejste ud i verden.</w:t>
      </w: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 xml:space="preserve">Find siden ”Vikinger overalt” </w:t>
      </w:r>
      <w:hyperlink r:id="rId9" w:history="1">
        <w:r w:rsidRPr="003A137E">
          <w:rPr>
            <w:rFonts w:eastAsiaTheme="minorEastAsia"/>
            <w:color w:val="0000FF" w:themeColor="hyperlink"/>
            <w:sz w:val="24"/>
            <w:szCs w:val="24"/>
            <w:u w:val="single"/>
            <w:lang w:eastAsia="da-DK"/>
          </w:rPr>
          <w:t>http://natmus.dk/salg-og-ydelser/undervisning-og-undervisningsmateriale/undervisningsrollespil/vikingetiden/skriftlige-kilder/rejsen/</w:t>
        </w:r>
      </w:hyperlink>
      <w:r w:rsidRPr="003A137E">
        <w:rPr>
          <w:rFonts w:eastAsiaTheme="minorEastAsia"/>
          <w:sz w:val="24"/>
          <w:szCs w:val="24"/>
          <w:lang w:eastAsia="da-DK"/>
        </w:rPr>
        <w:t xml:space="preserve"> </w:t>
      </w:r>
    </w:p>
    <w:p w:rsidR="003A137E" w:rsidRPr="003A137E" w:rsidRDefault="003A137E" w:rsidP="003A137E">
      <w:pPr>
        <w:spacing w:line="360" w:lineRule="auto"/>
        <w:rPr>
          <w:rFonts w:eastAsiaTheme="minorEastAsia"/>
          <w:sz w:val="24"/>
          <w:szCs w:val="24"/>
          <w:lang w:eastAsia="da-DK"/>
        </w:rPr>
      </w:pPr>
      <w:r w:rsidRPr="003A137E">
        <w:rPr>
          <w:rFonts w:eastAsiaTheme="minorEastAsia"/>
          <w:sz w:val="24"/>
          <w:szCs w:val="24"/>
          <w:lang w:eastAsia="da-DK"/>
        </w:rPr>
        <w:t>Løs disse opgaver til kilden:</w:t>
      </w:r>
    </w:p>
    <w:p w:rsidR="003A137E" w:rsidRPr="003A137E" w:rsidRDefault="003A137E" w:rsidP="003A137E">
      <w:pPr>
        <w:numPr>
          <w:ilvl w:val="0"/>
          <w:numId w:val="6"/>
        </w:numPr>
        <w:spacing w:line="360" w:lineRule="auto"/>
        <w:contextualSpacing/>
        <w:rPr>
          <w:rFonts w:eastAsiaTheme="minorEastAsia"/>
          <w:sz w:val="24"/>
          <w:szCs w:val="24"/>
          <w:lang w:eastAsia="da-DK"/>
        </w:rPr>
      </w:pPr>
      <w:r w:rsidRPr="003A137E">
        <w:rPr>
          <w:rFonts w:eastAsiaTheme="minorEastAsia"/>
          <w:sz w:val="24"/>
          <w:szCs w:val="24"/>
          <w:lang w:eastAsia="da-DK"/>
        </w:rPr>
        <w:t>Hvilke steder rejste vikingerne hen?</w:t>
      </w:r>
    </w:p>
    <w:p w:rsidR="003A137E" w:rsidRPr="003A137E" w:rsidRDefault="003A137E" w:rsidP="003A137E">
      <w:pPr>
        <w:numPr>
          <w:ilvl w:val="0"/>
          <w:numId w:val="6"/>
        </w:numPr>
        <w:spacing w:line="360" w:lineRule="auto"/>
        <w:contextualSpacing/>
        <w:rPr>
          <w:rFonts w:eastAsiaTheme="minorEastAsia"/>
          <w:sz w:val="24"/>
          <w:szCs w:val="24"/>
          <w:lang w:eastAsia="da-DK"/>
        </w:rPr>
      </w:pPr>
      <w:r w:rsidRPr="003A137E">
        <w:rPr>
          <w:rFonts w:eastAsiaTheme="minorEastAsia"/>
          <w:sz w:val="24"/>
          <w:szCs w:val="24"/>
          <w:lang w:eastAsia="da-DK"/>
        </w:rPr>
        <w:t>Hvad var årsagen til, at vikingerne kunne komme rundt omkring i verden?</w:t>
      </w:r>
    </w:p>
    <w:p w:rsidR="003A137E" w:rsidRPr="003A137E" w:rsidRDefault="003A137E" w:rsidP="003A137E">
      <w:pPr>
        <w:numPr>
          <w:ilvl w:val="0"/>
          <w:numId w:val="6"/>
        </w:numPr>
        <w:spacing w:line="360" w:lineRule="auto"/>
        <w:contextualSpacing/>
        <w:rPr>
          <w:rFonts w:eastAsiaTheme="minorEastAsia"/>
          <w:sz w:val="24"/>
          <w:szCs w:val="24"/>
          <w:lang w:eastAsia="da-DK"/>
        </w:rPr>
      </w:pPr>
      <w:r w:rsidRPr="003A137E">
        <w:rPr>
          <w:rFonts w:eastAsiaTheme="minorEastAsia"/>
          <w:sz w:val="24"/>
          <w:szCs w:val="24"/>
          <w:lang w:eastAsia="da-DK"/>
        </w:rPr>
        <w:t>Hvad skubbede vikingerne væk fra de nordiske lande, og hvad trak dem andre steder hen?</w:t>
      </w:r>
    </w:p>
    <w:p w:rsidR="003A137E" w:rsidRPr="003A137E" w:rsidRDefault="003A137E" w:rsidP="003A137E">
      <w:pPr>
        <w:contextualSpacing/>
        <w:rPr>
          <w:rFonts w:eastAsiaTheme="minorEastAsia"/>
          <w:sz w:val="28"/>
          <w:szCs w:val="28"/>
          <w:lang w:eastAsia="da-DK"/>
        </w:rPr>
      </w:pPr>
    </w:p>
    <w:p w:rsidR="003A137E" w:rsidRDefault="003A137E" w:rsidP="003A137E">
      <w:pPr>
        <w:spacing w:after="0"/>
      </w:pPr>
    </w:p>
    <w:p w:rsidR="0027575F" w:rsidRDefault="003A137E"/>
    <w:sectPr w:rsidR="0027575F" w:rsidSect="003A137E">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87B"/>
    <w:multiLevelType w:val="hybridMultilevel"/>
    <w:tmpl w:val="D0FA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64BE3"/>
    <w:multiLevelType w:val="hybridMultilevel"/>
    <w:tmpl w:val="033A2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7DD779F"/>
    <w:multiLevelType w:val="hybridMultilevel"/>
    <w:tmpl w:val="08AAC9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5B4C4B64"/>
    <w:multiLevelType w:val="hybridMultilevel"/>
    <w:tmpl w:val="196E0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7D6275E2"/>
    <w:multiLevelType w:val="hybridMultilevel"/>
    <w:tmpl w:val="056EAC7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7E"/>
    <w:rsid w:val="000E5E8C"/>
    <w:rsid w:val="0031718B"/>
    <w:rsid w:val="003A137E"/>
    <w:rsid w:val="004F745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3A13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a-DK"/>
    </w:rPr>
  </w:style>
  <w:style w:type="character" w:customStyle="1" w:styleId="TitelTegn">
    <w:name w:val="Titel Tegn"/>
    <w:basedOn w:val="Standardskrifttypeiafsnit"/>
    <w:link w:val="Titel"/>
    <w:uiPriority w:val="10"/>
    <w:rsid w:val="003A137E"/>
    <w:rPr>
      <w:rFonts w:asciiTheme="majorHAnsi" w:eastAsiaTheme="majorEastAsia" w:hAnsiTheme="majorHAnsi" w:cstheme="majorBidi"/>
      <w:color w:val="17365D" w:themeColor="text2" w:themeShade="BF"/>
      <w:spacing w:val="5"/>
      <w:kern w:val="28"/>
      <w:sz w:val="52"/>
      <w:szCs w:val="52"/>
      <w:lang w:eastAsia="da-DK"/>
    </w:rPr>
  </w:style>
  <w:style w:type="table" w:styleId="Tabel-Gitter">
    <w:name w:val="Table Grid"/>
    <w:basedOn w:val="Tabel-Normal"/>
    <w:uiPriority w:val="59"/>
    <w:rsid w:val="003A137E"/>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A137E"/>
    <w:rPr>
      <w:color w:val="0000FF" w:themeColor="hyperlink"/>
      <w:u w:val="single"/>
    </w:rPr>
  </w:style>
  <w:style w:type="paragraph" w:styleId="Markeringsbobletekst">
    <w:name w:val="Balloon Text"/>
    <w:basedOn w:val="Normal"/>
    <w:link w:val="MarkeringsbobletekstTegn"/>
    <w:uiPriority w:val="99"/>
    <w:semiHidden/>
    <w:unhideWhenUsed/>
    <w:rsid w:val="003A137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A1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3A13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a-DK"/>
    </w:rPr>
  </w:style>
  <w:style w:type="character" w:customStyle="1" w:styleId="TitelTegn">
    <w:name w:val="Titel Tegn"/>
    <w:basedOn w:val="Standardskrifttypeiafsnit"/>
    <w:link w:val="Titel"/>
    <w:uiPriority w:val="10"/>
    <w:rsid w:val="003A137E"/>
    <w:rPr>
      <w:rFonts w:asciiTheme="majorHAnsi" w:eastAsiaTheme="majorEastAsia" w:hAnsiTheme="majorHAnsi" w:cstheme="majorBidi"/>
      <w:color w:val="17365D" w:themeColor="text2" w:themeShade="BF"/>
      <w:spacing w:val="5"/>
      <w:kern w:val="28"/>
      <w:sz w:val="52"/>
      <w:szCs w:val="52"/>
      <w:lang w:eastAsia="da-DK"/>
    </w:rPr>
  </w:style>
  <w:style w:type="table" w:styleId="Tabel-Gitter">
    <w:name w:val="Table Grid"/>
    <w:basedOn w:val="Tabel-Normal"/>
    <w:uiPriority w:val="59"/>
    <w:rsid w:val="003A137E"/>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A137E"/>
    <w:rPr>
      <w:color w:val="0000FF" w:themeColor="hyperlink"/>
      <w:u w:val="single"/>
    </w:rPr>
  </w:style>
  <w:style w:type="paragraph" w:styleId="Markeringsbobletekst">
    <w:name w:val="Balloon Text"/>
    <w:basedOn w:val="Normal"/>
    <w:link w:val="MarkeringsbobletekstTegn"/>
    <w:uiPriority w:val="99"/>
    <w:semiHidden/>
    <w:unhideWhenUsed/>
    <w:rsid w:val="003A137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A1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folo.dk/Vikingelege.4907.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tmus.dk/salg-og-ydelser/undervisning-og-undervisningsmateriale/undervisningsrollespil/vikingetiden/skriftlige-kilder/rejse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2016-06-23T12:53:00Z</cp:lastPrinted>
  <dcterms:created xsi:type="dcterms:W3CDTF">2016-06-23T12:52:00Z</dcterms:created>
  <dcterms:modified xsi:type="dcterms:W3CDTF">2016-06-23T12:55:00Z</dcterms:modified>
</cp:coreProperties>
</file>