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8FE" w:rsidRDefault="003618FE" w:rsidP="003618FE">
      <w:pPr>
        <w:pStyle w:val="Titel"/>
      </w:pPr>
      <w:r>
        <w:t>Lektionsplan: Stauning eller Kaos</w:t>
      </w:r>
    </w:p>
    <w:tbl>
      <w:tblPr>
        <w:tblStyle w:val="Tabel-Gitter"/>
        <w:tblW w:w="15452" w:type="dxa"/>
        <w:tblInd w:w="-743" w:type="dxa"/>
        <w:tblLook w:val="04A0" w:firstRow="1" w:lastRow="0" w:firstColumn="1" w:lastColumn="0" w:noHBand="0" w:noVBand="1"/>
      </w:tblPr>
      <w:tblGrid>
        <w:gridCol w:w="1135"/>
        <w:gridCol w:w="2563"/>
        <w:gridCol w:w="2692"/>
        <w:gridCol w:w="2548"/>
        <w:gridCol w:w="3464"/>
        <w:gridCol w:w="3050"/>
      </w:tblGrid>
      <w:tr w:rsidR="003618FE" w:rsidTr="009A6283">
        <w:tc>
          <w:tcPr>
            <w:tcW w:w="15452" w:type="dxa"/>
            <w:gridSpan w:val="6"/>
          </w:tcPr>
          <w:p w:rsidR="003618FE" w:rsidRPr="00A01171" w:rsidRDefault="003618FE" w:rsidP="009A6283">
            <w:pPr>
              <w:jc w:val="center"/>
              <w:rPr>
                <w:b/>
                <w:sz w:val="32"/>
                <w:szCs w:val="32"/>
              </w:rPr>
            </w:pPr>
            <w:r>
              <w:rPr>
                <w:b/>
                <w:sz w:val="32"/>
                <w:szCs w:val="32"/>
              </w:rPr>
              <w:t>Lektionsplan</w:t>
            </w:r>
          </w:p>
        </w:tc>
      </w:tr>
      <w:tr w:rsidR="003618FE" w:rsidTr="009A6283">
        <w:tc>
          <w:tcPr>
            <w:tcW w:w="1135" w:type="dxa"/>
          </w:tcPr>
          <w:p w:rsidR="003618FE" w:rsidRPr="00A01171" w:rsidRDefault="003618FE" w:rsidP="009A6283">
            <w:pPr>
              <w:rPr>
                <w:sz w:val="16"/>
                <w:szCs w:val="16"/>
              </w:rPr>
            </w:pPr>
            <w:r w:rsidRPr="002B6723">
              <w:rPr>
                <w:b/>
                <w:sz w:val="24"/>
                <w:szCs w:val="24"/>
              </w:rPr>
              <w:t>Modul</w:t>
            </w:r>
          </w:p>
        </w:tc>
        <w:tc>
          <w:tcPr>
            <w:tcW w:w="2563" w:type="dxa"/>
          </w:tcPr>
          <w:p w:rsidR="003618FE" w:rsidRPr="00A01171" w:rsidRDefault="003618FE" w:rsidP="009A6283">
            <w:pPr>
              <w:rPr>
                <w:b/>
              </w:rPr>
            </w:pPr>
            <w:r w:rsidRPr="002B6723">
              <w:rPr>
                <w:b/>
                <w:sz w:val="24"/>
                <w:szCs w:val="24"/>
              </w:rPr>
              <w:t>Indholdsmæssigt fokus</w:t>
            </w:r>
          </w:p>
        </w:tc>
        <w:tc>
          <w:tcPr>
            <w:tcW w:w="2692" w:type="dxa"/>
          </w:tcPr>
          <w:p w:rsidR="003618FE" w:rsidRDefault="003618FE" w:rsidP="009A6283">
            <w:r w:rsidRPr="00E10F0D">
              <w:rPr>
                <w:b/>
                <w:sz w:val="24"/>
                <w:szCs w:val="24"/>
              </w:rPr>
              <w:t>Færdighedsmål</w:t>
            </w:r>
          </w:p>
        </w:tc>
        <w:tc>
          <w:tcPr>
            <w:tcW w:w="2548" w:type="dxa"/>
          </w:tcPr>
          <w:p w:rsidR="003618FE" w:rsidRDefault="003618FE" w:rsidP="009A6283">
            <w:r w:rsidRPr="00E10F0D">
              <w:rPr>
                <w:b/>
                <w:sz w:val="24"/>
                <w:szCs w:val="24"/>
              </w:rPr>
              <w:t>Læringsmål</w:t>
            </w:r>
          </w:p>
        </w:tc>
        <w:tc>
          <w:tcPr>
            <w:tcW w:w="3464" w:type="dxa"/>
          </w:tcPr>
          <w:p w:rsidR="003618FE" w:rsidRDefault="003618FE" w:rsidP="009A6283">
            <w:r>
              <w:rPr>
                <w:b/>
                <w:sz w:val="24"/>
                <w:szCs w:val="24"/>
              </w:rPr>
              <w:t>Undervisningsa</w:t>
            </w:r>
            <w:r w:rsidRPr="00E10F0D">
              <w:rPr>
                <w:b/>
                <w:sz w:val="24"/>
                <w:szCs w:val="24"/>
              </w:rPr>
              <w:t>ktivitet</w:t>
            </w:r>
          </w:p>
        </w:tc>
        <w:tc>
          <w:tcPr>
            <w:tcW w:w="3050" w:type="dxa"/>
          </w:tcPr>
          <w:p w:rsidR="003618FE" w:rsidRPr="001F0896" w:rsidRDefault="003618FE" w:rsidP="009A6283">
            <w:pPr>
              <w:rPr>
                <w:b/>
                <w:sz w:val="24"/>
                <w:szCs w:val="24"/>
              </w:rPr>
            </w:pPr>
            <w:r w:rsidRPr="001F0896">
              <w:rPr>
                <w:b/>
                <w:sz w:val="24"/>
                <w:szCs w:val="24"/>
              </w:rPr>
              <w:t>Tegn på læring</w:t>
            </w:r>
          </w:p>
          <w:p w:rsidR="003618FE" w:rsidRDefault="003618FE" w:rsidP="009A6283"/>
        </w:tc>
      </w:tr>
      <w:tr w:rsidR="003618FE" w:rsidTr="009A6283">
        <w:tc>
          <w:tcPr>
            <w:tcW w:w="1135" w:type="dxa"/>
          </w:tcPr>
          <w:p w:rsidR="003618FE" w:rsidRDefault="003618FE" w:rsidP="009A6283">
            <w:pPr>
              <w:rPr>
                <w:sz w:val="20"/>
              </w:rPr>
            </w:pPr>
            <w:r>
              <w:rPr>
                <w:sz w:val="20"/>
              </w:rPr>
              <w:t>1</w:t>
            </w:r>
          </w:p>
          <w:p w:rsidR="003618FE" w:rsidRPr="00A01171" w:rsidRDefault="003618FE" w:rsidP="009A6283">
            <w:pPr>
              <w:rPr>
                <w:sz w:val="20"/>
              </w:rPr>
            </w:pPr>
            <w:r>
              <w:rPr>
                <w:sz w:val="20"/>
              </w:rPr>
              <w:t>(1 lektion)</w:t>
            </w:r>
          </w:p>
        </w:tc>
        <w:tc>
          <w:tcPr>
            <w:tcW w:w="2563" w:type="dxa"/>
          </w:tcPr>
          <w:p w:rsidR="003618FE" w:rsidRPr="00A01171" w:rsidRDefault="003618FE" w:rsidP="009A6283">
            <w:pPr>
              <w:rPr>
                <w:sz w:val="20"/>
              </w:rPr>
            </w:pPr>
            <w:r>
              <w:rPr>
                <w:sz w:val="20"/>
              </w:rPr>
              <w:t>Forforståelse</w:t>
            </w:r>
          </w:p>
        </w:tc>
        <w:tc>
          <w:tcPr>
            <w:tcW w:w="2692" w:type="dxa"/>
          </w:tcPr>
          <w:p w:rsidR="003618FE" w:rsidRPr="00A01171" w:rsidRDefault="003618FE" w:rsidP="009A6283">
            <w:pPr>
              <w:rPr>
                <w:sz w:val="20"/>
              </w:rPr>
            </w:pPr>
            <w:r w:rsidRPr="000F40BF">
              <w:rPr>
                <w:sz w:val="20"/>
              </w:rPr>
              <w:t>Eleven kan bruge kanonpunkter til at skabe historisk overblik og sammenhængsforståelse</w:t>
            </w:r>
          </w:p>
        </w:tc>
        <w:tc>
          <w:tcPr>
            <w:tcW w:w="2548" w:type="dxa"/>
          </w:tcPr>
          <w:p w:rsidR="003618FE" w:rsidRDefault="003618FE" w:rsidP="009A6283">
            <w:pPr>
              <w:rPr>
                <w:sz w:val="20"/>
              </w:rPr>
            </w:pPr>
            <w:r>
              <w:rPr>
                <w:sz w:val="20"/>
              </w:rPr>
              <w:t>Eleven kan</w:t>
            </w:r>
          </w:p>
          <w:p w:rsidR="003618FE" w:rsidRPr="00A01171" w:rsidRDefault="003618FE" w:rsidP="009A6283">
            <w:pPr>
              <w:pStyle w:val="Listeafsnit"/>
              <w:numPr>
                <w:ilvl w:val="0"/>
                <w:numId w:val="1"/>
              </w:numPr>
              <w:ind w:left="176" w:hanging="176"/>
              <w:rPr>
                <w:sz w:val="20"/>
              </w:rPr>
            </w:pPr>
            <w:r>
              <w:rPr>
                <w:sz w:val="20"/>
              </w:rPr>
              <w:t>redegøre for kanonpunktet ”Kanslergadeforliget” i forhold til forudsætninger, forløb og følger</w:t>
            </w:r>
          </w:p>
        </w:tc>
        <w:tc>
          <w:tcPr>
            <w:tcW w:w="3464" w:type="dxa"/>
          </w:tcPr>
          <w:p w:rsidR="003618FE" w:rsidRDefault="003618FE" w:rsidP="009A6283">
            <w:pPr>
              <w:pStyle w:val="Listeafsnit"/>
              <w:numPr>
                <w:ilvl w:val="0"/>
                <w:numId w:val="1"/>
              </w:numPr>
              <w:ind w:left="176" w:hanging="176"/>
              <w:rPr>
                <w:sz w:val="20"/>
              </w:rPr>
            </w:pPr>
            <w:r>
              <w:rPr>
                <w:sz w:val="20"/>
              </w:rPr>
              <w:t>Eleverne ser kanonfilmen ”Kanslergadeforliget” på historiekanon.com</w:t>
            </w:r>
          </w:p>
          <w:p w:rsidR="003618FE" w:rsidRDefault="003618FE" w:rsidP="009A6283">
            <w:pPr>
              <w:pStyle w:val="Listeafsnit"/>
              <w:numPr>
                <w:ilvl w:val="0"/>
                <w:numId w:val="1"/>
              </w:numPr>
              <w:ind w:left="176" w:hanging="176"/>
              <w:rPr>
                <w:sz w:val="20"/>
              </w:rPr>
            </w:pPr>
            <w:r>
              <w:rPr>
                <w:sz w:val="20"/>
              </w:rPr>
              <w:t>Eleverne præsenteres for forløbets problemstillinger og læringsmål</w:t>
            </w:r>
          </w:p>
          <w:p w:rsidR="003618FE" w:rsidRDefault="003618FE" w:rsidP="009A6283">
            <w:pPr>
              <w:pStyle w:val="Listeafsnit"/>
              <w:numPr>
                <w:ilvl w:val="0"/>
                <w:numId w:val="1"/>
              </w:numPr>
              <w:ind w:left="176" w:hanging="176"/>
              <w:rPr>
                <w:sz w:val="20"/>
              </w:rPr>
            </w:pPr>
            <w:r>
              <w:rPr>
                <w:sz w:val="20"/>
              </w:rPr>
              <w:t xml:space="preserve">Eleverne læser baggrundsartiklen ”Kanslergadeforliget” </w:t>
            </w:r>
          </w:p>
          <w:p w:rsidR="003618FE" w:rsidRPr="00E51CD4" w:rsidRDefault="003618FE" w:rsidP="009A6283">
            <w:pPr>
              <w:pStyle w:val="Listeafsnit"/>
              <w:numPr>
                <w:ilvl w:val="0"/>
                <w:numId w:val="1"/>
              </w:numPr>
              <w:ind w:left="176" w:hanging="176"/>
              <w:rPr>
                <w:sz w:val="20"/>
              </w:rPr>
            </w:pPr>
            <w:r>
              <w:rPr>
                <w:sz w:val="20"/>
              </w:rPr>
              <w:t>Eleverne skriver en kort tekst, hvor de opsummerer, hvad de ved om kanonpunktet ” Kanslergadeforliget”</w:t>
            </w:r>
          </w:p>
        </w:tc>
        <w:tc>
          <w:tcPr>
            <w:tcW w:w="3050" w:type="dxa"/>
          </w:tcPr>
          <w:p w:rsidR="003618FE" w:rsidRPr="00A01171" w:rsidRDefault="003618FE" w:rsidP="009A6283">
            <w:pPr>
              <w:pStyle w:val="Tabel-opstilling-punkttegn"/>
            </w:pPr>
          </w:p>
        </w:tc>
      </w:tr>
      <w:tr w:rsidR="003618FE" w:rsidTr="009A6283">
        <w:tc>
          <w:tcPr>
            <w:tcW w:w="1135" w:type="dxa"/>
          </w:tcPr>
          <w:p w:rsidR="003618FE" w:rsidRDefault="003618FE" w:rsidP="009A6283">
            <w:pPr>
              <w:rPr>
                <w:sz w:val="20"/>
              </w:rPr>
            </w:pPr>
            <w:r>
              <w:rPr>
                <w:sz w:val="20"/>
              </w:rPr>
              <w:t>2</w:t>
            </w:r>
          </w:p>
          <w:p w:rsidR="003618FE" w:rsidRPr="00A01171" w:rsidRDefault="003618FE" w:rsidP="009A6283">
            <w:pPr>
              <w:rPr>
                <w:sz w:val="20"/>
              </w:rPr>
            </w:pPr>
            <w:r>
              <w:rPr>
                <w:sz w:val="20"/>
              </w:rPr>
              <w:t>(2 lektioner)</w:t>
            </w:r>
          </w:p>
        </w:tc>
        <w:tc>
          <w:tcPr>
            <w:tcW w:w="2563" w:type="dxa"/>
          </w:tcPr>
          <w:p w:rsidR="003618FE" w:rsidRPr="00C726E2" w:rsidRDefault="003618FE" w:rsidP="009A6283">
            <w:pPr>
              <w:rPr>
                <w:sz w:val="20"/>
              </w:rPr>
            </w:pPr>
            <w:r>
              <w:rPr>
                <w:sz w:val="20"/>
              </w:rPr>
              <w:t>Personkarakteristik</w:t>
            </w:r>
          </w:p>
        </w:tc>
        <w:tc>
          <w:tcPr>
            <w:tcW w:w="2692" w:type="dxa"/>
          </w:tcPr>
          <w:p w:rsidR="003618FE" w:rsidRPr="00F710A6" w:rsidRDefault="003618FE" w:rsidP="009A6283">
            <w:pPr>
              <w:rPr>
                <w:sz w:val="20"/>
                <w:szCs w:val="20"/>
              </w:rPr>
            </w:pPr>
            <w:r w:rsidRPr="00F710A6">
              <w:rPr>
                <w:sz w:val="20"/>
                <w:szCs w:val="20"/>
              </w:rPr>
              <w:t xml:space="preserve">Eleven kan målrettet læse historiske kilder og </w:t>
            </w:r>
            <w:proofErr w:type="gramStart"/>
            <w:r w:rsidRPr="00F710A6">
              <w:rPr>
                <w:sz w:val="20"/>
                <w:szCs w:val="20"/>
              </w:rPr>
              <w:t>sprogligt  nuanceret</w:t>
            </w:r>
            <w:proofErr w:type="gramEnd"/>
            <w:r w:rsidRPr="00F710A6">
              <w:rPr>
                <w:sz w:val="20"/>
                <w:szCs w:val="20"/>
              </w:rPr>
              <w:t xml:space="preserve"> udtrykke sig mundtligt og skriftligt om historiske problemstillinger</w:t>
            </w:r>
          </w:p>
          <w:p w:rsidR="003618FE" w:rsidRPr="00F710A6" w:rsidRDefault="003618FE" w:rsidP="009A6283">
            <w:pPr>
              <w:rPr>
                <w:sz w:val="20"/>
                <w:szCs w:val="20"/>
              </w:rPr>
            </w:pPr>
          </w:p>
          <w:p w:rsidR="003618FE" w:rsidRPr="00F710A6" w:rsidRDefault="003618FE" w:rsidP="009A6283">
            <w:pPr>
              <w:rPr>
                <w:sz w:val="20"/>
                <w:szCs w:val="20"/>
              </w:rPr>
            </w:pPr>
            <w:r w:rsidRPr="00F710A6">
              <w:rPr>
                <w:sz w:val="20"/>
                <w:szCs w:val="20"/>
              </w:rPr>
              <w:t>Eleven kan udlede forklaringer på historiske forhold og forløb ud fra historiske scenarier</w:t>
            </w:r>
          </w:p>
          <w:p w:rsidR="003618FE" w:rsidRPr="00F710A6" w:rsidRDefault="003618FE" w:rsidP="009A6283">
            <w:pPr>
              <w:rPr>
                <w:sz w:val="20"/>
                <w:szCs w:val="20"/>
              </w:rPr>
            </w:pPr>
          </w:p>
        </w:tc>
        <w:tc>
          <w:tcPr>
            <w:tcW w:w="2548" w:type="dxa"/>
          </w:tcPr>
          <w:p w:rsidR="003618FE" w:rsidRPr="002477C8" w:rsidRDefault="003618FE" w:rsidP="009A6283">
            <w:pPr>
              <w:rPr>
                <w:sz w:val="20"/>
              </w:rPr>
            </w:pPr>
            <w:r w:rsidRPr="002477C8">
              <w:rPr>
                <w:sz w:val="20"/>
              </w:rPr>
              <w:t>Eleven kan</w:t>
            </w:r>
          </w:p>
          <w:p w:rsidR="003618FE" w:rsidRDefault="003618FE" w:rsidP="009A6283">
            <w:pPr>
              <w:pStyle w:val="Listeafsnit"/>
              <w:numPr>
                <w:ilvl w:val="0"/>
                <w:numId w:val="1"/>
              </w:numPr>
              <w:ind w:left="176" w:hanging="176"/>
              <w:rPr>
                <w:sz w:val="20"/>
              </w:rPr>
            </w:pPr>
            <w:r>
              <w:rPr>
                <w:sz w:val="20"/>
              </w:rPr>
              <w:t>lave en personkarakteristik af Thorvald Stauning</w:t>
            </w:r>
          </w:p>
          <w:p w:rsidR="003618FE" w:rsidRPr="00A01171" w:rsidRDefault="003618FE" w:rsidP="009A6283">
            <w:pPr>
              <w:pStyle w:val="Listeafsnit"/>
              <w:numPr>
                <w:ilvl w:val="0"/>
                <w:numId w:val="1"/>
              </w:numPr>
              <w:ind w:left="176" w:hanging="176"/>
              <w:rPr>
                <w:sz w:val="20"/>
              </w:rPr>
            </w:pPr>
            <w:r>
              <w:rPr>
                <w:sz w:val="20"/>
              </w:rPr>
              <w:t>forklare, hvorfor Stauning har opnået status som en af de ”Store Danskere”</w:t>
            </w:r>
          </w:p>
        </w:tc>
        <w:tc>
          <w:tcPr>
            <w:tcW w:w="3464" w:type="dxa"/>
          </w:tcPr>
          <w:p w:rsidR="003618FE" w:rsidRDefault="003618FE" w:rsidP="003618FE">
            <w:pPr>
              <w:pStyle w:val="Listeafsnit"/>
              <w:numPr>
                <w:ilvl w:val="0"/>
                <w:numId w:val="3"/>
              </w:numPr>
              <w:ind w:left="176" w:hanging="176"/>
              <w:rPr>
                <w:sz w:val="20"/>
              </w:rPr>
            </w:pPr>
            <w:r>
              <w:rPr>
                <w:sz w:val="20"/>
              </w:rPr>
              <w:t>Eleverne ser dokumentaren ”Store Danskere – Stauning”</w:t>
            </w:r>
          </w:p>
          <w:p w:rsidR="003618FE" w:rsidRPr="006F79E8" w:rsidRDefault="003618FE" w:rsidP="003618FE">
            <w:pPr>
              <w:pStyle w:val="Listeafsnit"/>
              <w:numPr>
                <w:ilvl w:val="0"/>
                <w:numId w:val="3"/>
              </w:numPr>
              <w:ind w:left="176" w:hanging="176"/>
              <w:rPr>
                <w:sz w:val="20"/>
              </w:rPr>
            </w:pPr>
            <w:r>
              <w:rPr>
                <w:sz w:val="20"/>
              </w:rPr>
              <w:t>Lav en personkarakteristik af Stauning. Se ”Øvrige gode råd og kommentar”.</w:t>
            </w:r>
          </w:p>
        </w:tc>
        <w:tc>
          <w:tcPr>
            <w:tcW w:w="3050" w:type="dxa"/>
          </w:tcPr>
          <w:p w:rsidR="003618FE" w:rsidRPr="00A01171" w:rsidRDefault="003618FE" w:rsidP="009A6283">
            <w:pPr>
              <w:rPr>
                <w:sz w:val="20"/>
              </w:rPr>
            </w:pPr>
          </w:p>
        </w:tc>
      </w:tr>
      <w:tr w:rsidR="003618FE" w:rsidTr="009A6283">
        <w:tc>
          <w:tcPr>
            <w:tcW w:w="1135" w:type="dxa"/>
          </w:tcPr>
          <w:p w:rsidR="003618FE" w:rsidRDefault="003618FE" w:rsidP="009A6283">
            <w:pPr>
              <w:rPr>
                <w:sz w:val="20"/>
              </w:rPr>
            </w:pPr>
            <w:r>
              <w:rPr>
                <w:sz w:val="20"/>
              </w:rPr>
              <w:t>3</w:t>
            </w:r>
          </w:p>
          <w:p w:rsidR="003618FE" w:rsidRPr="00A01171" w:rsidRDefault="003618FE" w:rsidP="009A6283">
            <w:pPr>
              <w:rPr>
                <w:sz w:val="20"/>
              </w:rPr>
            </w:pPr>
            <w:r>
              <w:rPr>
                <w:sz w:val="20"/>
              </w:rPr>
              <w:t>(5 lektioner)</w:t>
            </w:r>
          </w:p>
        </w:tc>
        <w:tc>
          <w:tcPr>
            <w:tcW w:w="2563" w:type="dxa"/>
          </w:tcPr>
          <w:p w:rsidR="003618FE" w:rsidRPr="00A01171" w:rsidRDefault="003618FE" w:rsidP="009A6283">
            <w:pPr>
              <w:rPr>
                <w:sz w:val="20"/>
              </w:rPr>
            </w:pPr>
            <w:r>
              <w:rPr>
                <w:sz w:val="20"/>
              </w:rPr>
              <w:t>Analyse og produktion</w:t>
            </w:r>
          </w:p>
        </w:tc>
        <w:tc>
          <w:tcPr>
            <w:tcW w:w="2692" w:type="dxa"/>
          </w:tcPr>
          <w:p w:rsidR="003618FE" w:rsidRPr="005733B8" w:rsidRDefault="003618FE" w:rsidP="009A6283">
            <w:pPr>
              <w:rPr>
                <w:sz w:val="20"/>
                <w:szCs w:val="20"/>
              </w:rPr>
            </w:pPr>
            <w:r w:rsidRPr="00BD0408">
              <w:rPr>
                <w:sz w:val="20"/>
              </w:rPr>
              <w:t xml:space="preserve">Eleven kan analysere konstruktion og brug af historiske fortællinger med </w:t>
            </w:r>
            <w:r w:rsidRPr="005733B8">
              <w:rPr>
                <w:sz w:val="20"/>
                <w:szCs w:val="20"/>
              </w:rPr>
              <w:t>samtids- og fremtidsrettet sigte</w:t>
            </w:r>
          </w:p>
          <w:p w:rsidR="003618FE" w:rsidRPr="005733B8" w:rsidRDefault="003618FE" w:rsidP="009A6283">
            <w:pPr>
              <w:rPr>
                <w:sz w:val="20"/>
                <w:szCs w:val="20"/>
              </w:rPr>
            </w:pPr>
          </w:p>
          <w:p w:rsidR="003618FE" w:rsidRDefault="003618FE" w:rsidP="009A6283">
            <w:pPr>
              <w:rPr>
                <w:sz w:val="20"/>
                <w:szCs w:val="20"/>
              </w:rPr>
            </w:pPr>
            <w:r w:rsidRPr="005733B8">
              <w:rPr>
                <w:sz w:val="20"/>
                <w:szCs w:val="20"/>
              </w:rPr>
              <w:t>Eleven kan identificere demokratiformer og andre styreformer</w:t>
            </w:r>
          </w:p>
          <w:p w:rsidR="003618FE" w:rsidRPr="005733B8" w:rsidRDefault="003618FE" w:rsidP="009A6283">
            <w:pPr>
              <w:rPr>
                <w:sz w:val="20"/>
                <w:szCs w:val="20"/>
              </w:rPr>
            </w:pPr>
          </w:p>
          <w:p w:rsidR="003618FE" w:rsidRPr="005733B8" w:rsidRDefault="003618FE" w:rsidP="009A6283">
            <w:pPr>
              <w:rPr>
                <w:sz w:val="20"/>
                <w:szCs w:val="20"/>
              </w:rPr>
            </w:pPr>
            <w:r w:rsidRPr="005733B8">
              <w:rPr>
                <w:sz w:val="20"/>
                <w:szCs w:val="20"/>
              </w:rPr>
              <w:lastRenderedPageBreak/>
              <w:t>Eleven kan identificere ideologisk indhold i politiske udsagn og beslutninger</w:t>
            </w:r>
          </w:p>
          <w:p w:rsidR="003618FE" w:rsidRPr="00A01171" w:rsidRDefault="003618FE" w:rsidP="009A6283">
            <w:pPr>
              <w:rPr>
                <w:sz w:val="20"/>
              </w:rPr>
            </w:pPr>
          </w:p>
        </w:tc>
        <w:tc>
          <w:tcPr>
            <w:tcW w:w="2548" w:type="dxa"/>
          </w:tcPr>
          <w:p w:rsidR="003618FE" w:rsidRPr="002477C8" w:rsidRDefault="003618FE" w:rsidP="009A6283">
            <w:pPr>
              <w:rPr>
                <w:sz w:val="20"/>
              </w:rPr>
            </w:pPr>
            <w:r w:rsidRPr="002477C8">
              <w:rPr>
                <w:sz w:val="20"/>
              </w:rPr>
              <w:lastRenderedPageBreak/>
              <w:t>Eleven kan</w:t>
            </w:r>
          </w:p>
          <w:p w:rsidR="003618FE" w:rsidRDefault="003618FE" w:rsidP="009A6283">
            <w:pPr>
              <w:pStyle w:val="Listeafsnit"/>
              <w:numPr>
                <w:ilvl w:val="0"/>
                <w:numId w:val="1"/>
              </w:numPr>
              <w:ind w:left="176" w:hanging="176"/>
              <w:rPr>
                <w:sz w:val="20"/>
              </w:rPr>
            </w:pPr>
            <w:r>
              <w:rPr>
                <w:sz w:val="20"/>
              </w:rPr>
              <w:t>redegøre for, hvordan Hitler og Stauning blev opfattet i deres samtid.</w:t>
            </w:r>
          </w:p>
          <w:p w:rsidR="003618FE" w:rsidRDefault="003618FE" w:rsidP="009A6283">
            <w:pPr>
              <w:pStyle w:val="Listeafsnit"/>
              <w:numPr>
                <w:ilvl w:val="0"/>
                <w:numId w:val="1"/>
              </w:numPr>
              <w:ind w:left="176" w:hanging="176"/>
              <w:rPr>
                <w:sz w:val="20"/>
              </w:rPr>
            </w:pPr>
            <w:r>
              <w:rPr>
                <w:sz w:val="20"/>
              </w:rPr>
              <w:t>identificere demokrati og andre styreformer</w:t>
            </w:r>
          </w:p>
          <w:p w:rsidR="003618FE" w:rsidRDefault="003618FE" w:rsidP="009A6283">
            <w:pPr>
              <w:pStyle w:val="Listeafsnit"/>
              <w:numPr>
                <w:ilvl w:val="0"/>
                <w:numId w:val="1"/>
              </w:numPr>
              <w:ind w:left="176" w:hanging="176"/>
              <w:rPr>
                <w:sz w:val="20"/>
              </w:rPr>
            </w:pPr>
            <w:r>
              <w:rPr>
                <w:sz w:val="20"/>
              </w:rPr>
              <w:t>identificere ideologier</w:t>
            </w:r>
          </w:p>
          <w:p w:rsidR="003618FE" w:rsidRDefault="003618FE" w:rsidP="009A6283">
            <w:pPr>
              <w:pStyle w:val="Listeafsnit"/>
              <w:numPr>
                <w:ilvl w:val="0"/>
                <w:numId w:val="1"/>
              </w:numPr>
              <w:ind w:left="176" w:hanging="176"/>
              <w:rPr>
                <w:sz w:val="20"/>
              </w:rPr>
            </w:pPr>
            <w:r>
              <w:rPr>
                <w:sz w:val="20"/>
              </w:rPr>
              <w:t>redegøre for, hvordan vi i dag opfatter de to statsministre</w:t>
            </w:r>
          </w:p>
          <w:p w:rsidR="003618FE" w:rsidRPr="00A01171" w:rsidRDefault="003618FE" w:rsidP="009A6283">
            <w:pPr>
              <w:pStyle w:val="Listeafsnit"/>
              <w:numPr>
                <w:ilvl w:val="0"/>
                <w:numId w:val="1"/>
              </w:numPr>
              <w:ind w:left="176" w:hanging="176"/>
              <w:rPr>
                <w:sz w:val="20"/>
              </w:rPr>
            </w:pPr>
            <w:r>
              <w:rPr>
                <w:sz w:val="20"/>
              </w:rPr>
              <w:lastRenderedPageBreak/>
              <w:t>give forklaringer på, hvorfor der er opstået forskellige fortællinger og opfattelser om de to statsministre</w:t>
            </w:r>
          </w:p>
        </w:tc>
        <w:tc>
          <w:tcPr>
            <w:tcW w:w="3464" w:type="dxa"/>
          </w:tcPr>
          <w:p w:rsidR="003618FE" w:rsidRDefault="003618FE" w:rsidP="009A6283">
            <w:pPr>
              <w:pStyle w:val="Listeafsnit"/>
              <w:numPr>
                <w:ilvl w:val="0"/>
                <w:numId w:val="2"/>
              </w:numPr>
              <w:ind w:left="176" w:hanging="176"/>
              <w:rPr>
                <w:sz w:val="20"/>
              </w:rPr>
            </w:pPr>
            <w:r>
              <w:rPr>
                <w:sz w:val="20"/>
              </w:rPr>
              <w:lastRenderedPageBreak/>
              <w:t>Eleverne arbejder sammen 2-3 om at lave en komparativ analyse af Stauning og Hitler</w:t>
            </w:r>
          </w:p>
          <w:p w:rsidR="003618FE" w:rsidRDefault="003618FE" w:rsidP="009A6283">
            <w:pPr>
              <w:pStyle w:val="Listeafsnit"/>
              <w:numPr>
                <w:ilvl w:val="0"/>
                <w:numId w:val="2"/>
              </w:numPr>
              <w:ind w:left="176" w:hanging="176"/>
              <w:rPr>
                <w:sz w:val="20"/>
              </w:rPr>
            </w:pPr>
            <w:r>
              <w:rPr>
                <w:sz w:val="20"/>
              </w:rPr>
              <w:t>Arbejdet munder ud i et produkt af eget valg. Her er givet eksempler</w:t>
            </w:r>
          </w:p>
          <w:p w:rsidR="003618FE" w:rsidRDefault="003618FE" w:rsidP="003618FE">
            <w:pPr>
              <w:pStyle w:val="Listeafsnit"/>
              <w:numPr>
                <w:ilvl w:val="0"/>
                <w:numId w:val="6"/>
              </w:numPr>
              <w:rPr>
                <w:sz w:val="20"/>
              </w:rPr>
            </w:pPr>
            <w:proofErr w:type="spellStart"/>
            <w:r>
              <w:rPr>
                <w:sz w:val="20"/>
              </w:rPr>
              <w:t>GoAnimate</w:t>
            </w:r>
            <w:proofErr w:type="spellEnd"/>
            <w:r>
              <w:rPr>
                <w:sz w:val="20"/>
              </w:rPr>
              <w:t xml:space="preserve"> eller </w:t>
            </w:r>
            <w:proofErr w:type="spellStart"/>
            <w:r>
              <w:rPr>
                <w:sz w:val="20"/>
              </w:rPr>
              <w:t>Powtoon</w:t>
            </w:r>
            <w:proofErr w:type="spellEnd"/>
          </w:p>
          <w:p w:rsidR="003618FE" w:rsidRDefault="003618FE" w:rsidP="003618FE">
            <w:pPr>
              <w:pStyle w:val="Listeafsnit"/>
              <w:numPr>
                <w:ilvl w:val="0"/>
                <w:numId w:val="6"/>
              </w:numPr>
              <w:rPr>
                <w:sz w:val="20"/>
              </w:rPr>
            </w:pPr>
            <w:proofErr w:type="spellStart"/>
            <w:r>
              <w:rPr>
                <w:sz w:val="20"/>
              </w:rPr>
              <w:t>Prezi</w:t>
            </w:r>
            <w:proofErr w:type="spellEnd"/>
          </w:p>
          <w:p w:rsidR="003618FE" w:rsidRDefault="003618FE" w:rsidP="003618FE">
            <w:pPr>
              <w:pStyle w:val="Listeafsnit"/>
              <w:numPr>
                <w:ilvl w:val="0"/>
                <w:numId w:val="6"/>
              </w:numPr>
              <w:rPr>
                <w:sz w:val="20"/>
              </w:rPr>
            </w:pPr>
            <w:r>
              <w:rPr>
                <w:sz w:val="20"/>
              </w:rPr>
              <w:t>Storyjumper</w:t>
            </w:r>
          </w:p>
          <w:p w:rsidR="003618FE" w:rsidRDefault="003618FE" w:rsidP="003618FE">
            <w:pPr>
              <w:pStyle w:val="Listeafsnit"/>
              <w:numPr>
                <w:ilvl w:val="0"/>
                <w:numId w:val="6"/>
              </w:numPr>
              <w:rPr>
                <w:sz w:val="20"/>
              </w:rPr>
            </w:pPr>
            <w:r>
              <w:rPr>
                <w:sz w:val="20"/>
              </w:rPr>
              <w:t>Plancher</w:t>
            </w:r>
          </w:p>
          <w:p w:rsidR="003618FE" w:rsidRPr="008F56E4" w:rsidRDefault="003618FE" w:rsidP="003618FE">
            <w:pPr>
              <w:pStyle w:val="Listeafsnit"/>
              <w:numPr>
                <w:ilvl w:val="0"/>
                <w:numId w:val="6"/>
              </w:numPr>
              <w:rPr>
                <w:sz w:val="20"/>
              </w:rPr>
            </w:pPr>
            <w:r>
              <w:rPr>
                <w:sz w:val="20"/>
              </w:rPr>
              <w:t>Video</w:t>
            </w:r>
          </w:p>
        </w:tc>
        <w:tc>
          <w:tcPr>
            <w:tcW w:w="3050" w:type="dxa"/>
          </w:tcPr>
          <w:p w:rsidR="003618FE" w:rsidRPr="00A01171" w:rsidRDefault="003618FE" w:rsidP="009A6283">
            <w:pPr>
              <w:rPr>
                <w:sz w:val="20"/>
              </w:rPr>
            </w:pPr>
          </w:p>
        </w:tc>
      </w:tr>
    </w:tbl>
    <w:p w:rsidR="003618FE" w:rsidRPr="00976837" w:rsidRDefault="003618FE" w:rsidP="003618FE">
      <w:pPr>
        <w:spacing w:after="0"/>
        <w:ind w:hanging="709"/>
        <w:rPr>
          <w:sz w:val="20"/>
          <w:szCs w:val="20"/>
        </w:rPr>
        <w:sectPr w:rsidR="003618FE" w:rsidRPr="00976837" w:rsidSect="00586B68">
          <w:pgSz w:w="16838" w:h="11906" w:orient="landscape"/>
          <w:pgMar w:top="1134" w:right="1701" w:bottom="1134" w:left="1701" w:header="708" w:footer="708" w:gutter="0"/>
          <w:cols w:space="708"/>
          <w:docGrid w:linePitch="360"/>
        </w:sectPr>
      </w:pPr>
      <w:r w:rsidRPr="00976837">
        <w:rPr>
          <w:sz w:val="20"/>
          <w:szCs w:val="20"/>
        </w:rPr>
        <w:lastRenderedPageBreak/>
        <w:t>NB! 1 lektion = 45 min.</w:t>
      </w:r>
    </w:p>
    <w:p w:rsidR="003618FE" w:rsidRDefault="003618FE" w:rsidP="003618FE">
      <w:pPr>
        <w:pStyle w:val="Overskrift1"/>
      </w:pPr>
      <w:r>
        <w:lastRenderedPageBreak/>
        <w:t>Forslag til:</w:t>
      </w:r>
    </w:p>
    <w:p w:rsidR="003618FE" w:rsidRDefault="003618FE" w:rsidP="003618FE">
      <w:pPr>
        <w:pStyle w:val="Overskrift2"/>
      </w:pPr>
      <w:r>
        <w:t>Undervisningsdifferentiering</w:t>
      </w:r>
    </w:p>
    <w:p w:rsidR="003618FE" w:rsidRPr="00400396" w:rsidRDefault="003618FE" w:rsidP="003618FE">
      <w:pPr>
        <w:spacing w:after="0"/>
      </w:pPr>
      <w:proofErr w:type="spellStart"/>
      <w:r w:rsidRPr="00400396">
        <w:t>xx</w:t>
      </w:r>
      <w:proofErr w:type="spellEnd"/>
      <w:r w:rsidRPr="00400396">
        <w:t>.</w:t>
      </w:r>
    </w:p>
    <w:p w:rsidR="003618FE" w:rsidRDefault="003618FE" w:rsidP="003618FE">
      <w:pPr>
        <w:pStyle w:val="Overskrift2"/>
      </w:pPr>
      <w:r>
        <w:t>Evalueringsformer</w:t>
      </w:r>
    </w:p>
    <w:p w:rsidR="003618FE" w:rsidRDefault="003618FE" w:rsidP="003618FE">
      <w:pPr>
        <w:spacing w:after="0"/>
      </w:pPr>
      <w:proofErr w:type="spellStart"/>
      <w:r>
        <w:t>xx</w:t>
      </w:r>
      <w:proofErr w:type="spellEnd"/>
    </w:p>
    <w:p w:rsidR="003618FE" w:rsidRDefault="003618FE" w:rsidP="003618FE">
      <w:pPr>
        <w:pStyle w:val="Overskrift2"/>
      </w:pPr>
      <w:r>
        <w:t>Bevægelse</w:t>
      </w:r>
    </w:p>
    <w:p w:rsidR="003618FE" w:rsidRPr="00AF18DA" w:rsidRDefault="003618FE" w:rsidP="003618FE">
      <w:pPr>
        <w:spacing w:after="0"/>
      </w:pPr>
      <w:proofErr w:type="spellStart"/>
      <w:r>
        <w:t>xx</w:t>
      </w:r>
      <w:proofErr w:type="spellEnd"/>
    </w:p>
    <w:p w:rsidR="003618FE" w:rsidRDefault="003618FE" w:rsidP="003618FE">
      <w:pPr>
        <w:pStyle w:val="Overskrift2"/>
      </w:pPr>
      <w:r>
        <w:t>Nærområdet som læringsrum</w:t>
      </w:r>
    </w:p>
    <w:p w:rsidR="003618FE" w:rsidRPr="006A2C20" w:rsidRDefault="003618FE" w:rsidP="003618FE">
      <w:pPr>
        <w:spacing w:after="0"/>
      </w:pPr>
      <w:proofErr w:type="spellStart"/>
      <w:r>
        <w:t>xx</w:t>
      </w:r>
      <w:proofErr w:type="spellEnd"/>
      <w:r w:rsidRPr="006A2C20">
        <w:t xml:space="preserve"> </w:t>
      </w:r>
    </w:p>
    <w:p w:rsidR="003618FE" w:rsidRDefault="003618FE" w:rsidP="003618FE">
      <w:pPr>
        <w:pStyle w:val="Overskrift1"/>
      </w:pPr>
      <w:r>
        <w:t>Øvrige gode råd og kommentarer</w:t>
      </w:r>
    </w:p>
    <w:p w:rsidR="003618FE" w:rsidRDefault="003618FE" w:rsidP="003618FE">
      <w:pPr>
        <w:spacing w:after="0"/>
      </w:pPr>
      <w:r>
        <w:t xml:space="preserve">I modul 2 skal eleverne lave en personkarakteristik af Stauning. Før elevernes arbejde vil det dog være en god ide at forklare dem, hvad der menes med indre og ydre karakteristik. De vil ofte være bekendte med begreberne fra deres danskundervisning, men det en god idé at sikre sig, at eleverne har de nødvendige forudsætninger på plads. </w:t>
      </w:r>
    </w:p>
    <w:p w:rsidR="003618FE" w:rsidRPr="004C5F71" w:rsidRDefault="003618FE" w:rsidP="003618FE">
      <w:pPr>
        <w:spacing w:after="0"/>
        <w:rPr>
          <w:rFonts w:cstheme="minorHAnsi"/>
        </w:rPr>
      </w:pPr>
      <w:r w:rsidRPr="004C5F71">
        <w:rPr>
          <w:rFonts w:cstheme="minorHAnsi"/>
        </w:rPr>
        <w:t xml:space="preserve">Eleverne inddeles i et lige antal grupper med 3-4 elever i hver gruppe. </w:t>
      </w:r>
    </w:p>
    <w:p w:rsidR="003618FE" w:rsidRPr="004C5F71" w:rsidRDefault="003618FE" w:rsidP="003618FE">
      <w:pPr>
        <w:spacing w:after="0"/>
        <w:rPr>
          <w:rFonts w:cstheme="minorHAnsi"/>
        </w:rPr>
      </w:pPr>
    </w:p>
    <w:p w:rsidR="003618FE" w:rsidRPr="004C5F71" w:rsidRDefault="003618FE" w:rsidP="003618FE">
      <w:pPr>
        <w:rPr>
          <w:rFonts w:cstheme="minorHAnsi"/>
        </w:rPr>
      </w:pPr>
      <w:r w:rsidRPr="004C5F71">
        <w:rPr>
          <w:rFonts w:eastAsia="Times New Roman" w:cstheme="minorHAnsi"/>
          <w:color w:val="000000"/>
          <w:lang w:eastAsia="da-DK"/>
        </w:rPr>
        <w:t>Eleverne laver personkarakteristikken på et stykke A3, hvor de tegner konturen af en mand. Uden for personen skriver eleverne de ydre karakteristikker og inden i personen skriver eleverne de indre kara</w:t>
      </w:r>
      <w:r>
        <w:rPr>
          <w:rFonts w:eastAsia="Times New Roman" w:cstheme="minorHAnsi"/>
          <w:color w:val="000000"/>
          <w:lang w:eastAsia="da-DK"/>
        </w:rPr>
        <w:t>k</w:t>
      </w:r>
      <w:r w:rsidRPr="004C5F71">
        <w:rPr>
          <w:rFonts w:eastAsia="Times New Roman" w:cstheme="minorHAnsi"/>
          <w:color w:val="000000"/>
          <w:lang w:eastAsia="da-DK"/>
        </w:rPr>
        <w:t>teristikker. Eleverne afslutter arbejdet med at præsentere for en anden gruppe.</w:t>
      </w:r>
    </w:p>
    <w:p w:rsidR="003618FE" w:rsidRDefault="003618FE" w:rsidP="003618FE">
      <w:pPr>
        <w:pBdr>
          <w:bottom w:val="single" w:sz="8" w:space="4" w:color="4F81BD" w:themeColor="accent1"/>
        </w:pBdr>
        <w:spacing w:after="300" w:line="240" w:lineRule="auto"/>
        <w:contextualSpacing/>
        <w:rPr>
          <w:rFonts w:eastAsiaTheme="majorEastAsia" w:cstheme="minorHAnsi"/>
          <w:color w:val="17365D" w:themeColor="text2" w:themeShade="BF"/>
          <w:spacing w:val="5"/>
          <w:kern w:val="28"/>
        </w:rPr>
      </w:pPr>
    </w:p>
    <w:p w:rsidR="003618FE" w:rsidRDefault="003618FE" w:rsidP="003618FE">
      <w:pPr>
        <w:pBdr>
          <w:bottom w:val="single" w:sz="8" w:space="4" w:color="4F81BD" w:themeColor="accent1"/>
        </w:pBdr>
        <w:spacing w:after="300" w:line="240" w:lineRule="auto"/>
        <w:contextualSpacing/>
        <w:rPr>
          <w:rFonts w:eastAsiaTheme="majorEastAsia" w:cstheme="minorHAnsi"/>
          <w:color w:val="17365D" w:themeColor="text2" w:themeShade="BF"/>
          <w:spacing w:val="5"/>
          <w:kern w:val="28"/>
        </w:rPr>
      </w:pPr>
    </w:p>
    <w:p w:rsidR="003618FE" w:rsidRPr="004C5F71" w:rsidRDefault="003618FE" w:rsidP="003618FE">
      <w:pPr>
        <w:pBdr>
          <w:bottom w:val="single" w:sz="8" w:space="4" w:color="4F81BD" w:themeColor="accent1"/>
        </w:pBdr>
        <w:spacing w:after="300" w:line="240" w:lineRule="auto"/>
        <w:contextualSpacing/>
        <w:rPr>
          <w:rFonts w:eastAsiaTheme="majorEastAsia" w:cstheme="minorHAnsi"/>
          <w:color w:val="17365D" w:themeColor="text2" w:themeShade="BF"/>
          <w:spacing w:val="5"/>
          <w:kern w:val="28"/>
        </w:rPr>
      </w:pPr>
    </w:p>
    <w:p w:rsidR="003618FE" w:rsidRPr="004C5F71" w:rsidRDefault="003618FE" w:rsidP="003618FE">
      <w:pPr>
        <w:pBdr>
          <w:bottom w:val="single" w:sz="8" w:space="4" w:color="4F81BD" w:themeColor="accent1"/>
        </w:pBdr>
        <w:spacing w:after="300" w:line="240" w:lineRule="auto"/>
        <w:contextualSpacing/>
        <w:rPr>
          <w:rFonts w:eastAsiaTheme="majorEastAsia" w:cstheme="minorHAnsi"/>
          <w:color w:val="17365D" w:themeColor="text2" w:themeShade="BF"/>
          <w:spacing w:val="5"/>
          <w:kern w:val="28"/>
        </w:rPr>
      </w:pPr>
    </w:p>
    <w:p w:rsidR="003618FE" w:rsidRPr="004C5F71" w:rsidRDefault="003618FE" w:rsidP="003618FE">
      <w:pPr>
        <w:pBdr>
          <w:bottom w:val="single" w:sz="8" w:space="4" w:color="4F81BD" w:themeColor="accent1"/>
        </w:pBdr>
        <w:spacing w:after="300" w:line="240" w:lineRule="auto"/>
        <w:contextualSpacing/>
        <w:rPr>
          <w:rFonts w:eastAsiaTheme="majorEastAsia" w:cstheme="minorHAnsi"/>
          <w:color w:val="17365D" w:themeColor="text2" w:themeShade="BF"/>
          <w:spacing w:val="5"/>
          <w:kern w:val="28"/>
        </w:rPr>
      </w:pPr>
    </w:p>
    <w:p w:rsidR="003618FE" w:rsidRDefault="003618FE" w:rsidP="003618FE">
      <w:pPr>
        <w:pBdr>
          <w:bottom w:val="single" w:sz="8" w:space="4" w:color="4F81BD" w:themeColor="accent1"/>
        </w:pBdr>
        <w:spacing w:after="300" w:line="240" w:lineRule="auto"/>
        <w:contextualSpacing/>
        <w:rPr>
          <w:rFonts w:eastAsiaTheme="majorEastAsia" w:cstheme="minorHAnsi"/>
          <w:color w:val="17365D" w:themeColor="text2" w:themeShade="BF"/>
          <w:spacing w:val="5"/>
          <w:kern w:val="28"/>
        </w:rPr>
      </w:pPr>
    </w:p>
    <w:p w:rsidR="003618FE" w:rsidRDefault="003618FE" w:rsidP="003618FE">
      <w:pPr>
        <w:pBdr>
          <w:bottom w:val="single" w:sz="8" w:space="4" w:color="4F81BD" w:themeColor="accent1"/>
        </w:pBdr>
        <w:spacing w:after="300" w:line="240" w:lineRule="auto"/>
        <w:contextualSpacing/>
        <w:rPr>
          <w:rFonts w:eastAsiaTheme="majorEastAsia" w:cstheme="minorHAnsi"/>
          <w:color w:val="17365D" w:themeColor="text2" w:themeShade="BF"/>
          <w:spacing w:val="5"/>
          <w:kern w:val="28"/>
        </w:rPr>
      </w:pPr>
    </w:p>
    <w:p w:rsidR="003618FE" w:rsidRDefault="003618FE" w:rsidP="003618FE">
      <w:pPr>
        <w:pBdr>
          <w:bottom w:val="single" w:sz="8" w:space="4" w:color="4F81BD" w:themeColor="accent1"/>
        </w:pBdr>
        <w:spacing w:after="300" w:line="240" w:lineRule="auto"/>
        <w:contextualSpacing/>
        <w:rPr>
          <w:rFonts w:eastAsiaTheme="majorEastAsia" w:cstheme="minorHAnsi"/>
          <w:color w:val="17365D" w:themeColor="text2" w:themeShade="BF"/>
          <w:spacing w:val="5"/>
          <w:kern w:val="28"/>
        </w:rPr>
      </w:pPr>
    </w:p>
    <w:p w:rsidR="003618FE" w:rsidRDefault="003618FE" w:rsidP="003618FE">
      <w:pPr>
        <w:pBdr>
          <w:bottom w:val="single" w:sz="8" w:space="4" w:color="4F81BD" w:themeColor="accent1"/>
        </w:pBdr>
        <w:spacing w:after="300" w:line="240" w:lineRule="auto"/>
        <w:contextualSpacing/>
        <w:rPr>
          <w:rFonts w:eastAsiaTheme="majorEastAsia" w:cstheme="minorHAnsi"/>
          <w:color w:val="17365D" w:themeColor="text2" w:themeShade="BF"/>
          <w:spacing w:val="5"/>
          <w:kern w:val="28"/>
        </w:rPr>
      </w:pPr>
    </w:p>
    <w:p w:rsidR="003618FE" w:rsidRDefault="003618FE" w:rsidP="003618FE">
      <w:pPr>
        <w:pBdr>
          <w:bottom w:val="single" w:sz="8" w:space="4" w:color="4F81BD" w:themeColor="accent1"/>
        </w:pBdr>
        <w:spacing w:after="300" w:line="240" w:lineRule="auto"/>
        <w:contextualSpacing/>
        <w:rPr>
          <w:rFonts w:eastAsiaTheme="majorEastAsia" w:cstheme="minorHAnsi"/>
          <w:color w:val="17365D" w:themeColor="text2" w:themeShade="BF"/>
          <w:spacing w:val="5"/>
          <w:kern w:val="28"/>
        </w:rPr>
      </w:pPr>
    </w:p>
    <w:p w:rsidR="003618FE" w:rsidRDefault="003618FE" w:rsidP="003618FE">
      <w:pPr>
        <w:pBdr>
          <w:bottom w:val="single" w:sz="8" w:space="4" w:color="4F81BD" w:themeColor="accent1"/>
        </w:pBdr>
        <w:spacing w:after="300" w:line="240" w:lineRule="auto"/>
        <w:contextualSpacing/>
        <w:rPr>
          <w:rFonts w:eastAsiaTheme="majorEastAsia" w:cstheme="minorHAnsi"/>
          <w:color w:val="17365D" w:themeColor="text2" w:themeShade="BF"/>
          <w:spacing w:val="5"/>
          <w:kern w:val="28"/>
        </w:rPr>
      </w:pPr>
    </w:p>
    <w:p w:rsidR="003618FE" w:rsidRDefault="003618FE" w:rsidP="003618FE">
      <w:pPr>
        <w:pBdr>
          <w:bottom w:val="single" w:sz="8" w:space="4" w:color="4F81BD" w:themeColor="accent1"/>
        </w:pBdr>
        <w:spacing w:after="300" w:line="240" w:lineRule="auto"/>
        <w:contextualSpacing/>
        <w:rPr>
          <w:rFonts w:eastAsiaTheme="majorEastAsia" w:cstheme="minorHAnsi"/>
          <w:color w:val="17365D" w:themeColor="text2" w:themeShade="BF"/>
          <w:spacing w:val="5"/>
          <w:kern w:val="28"/>
        </w:rPr>
      </w:pPr>
    </w:p>
    <w:p w:rsidR="003618FE" w:rsidRDefault="003618FE" w:rsidP="003618FE">
      <w:pPr>
        <w:pBdr>
          <w:bottom w:val="single" w:sz="8" w:space="4" w:color="4F81BD" w:themeColor="accent1"/>
        </w:pBdr>
        <w:spacing w:after="300" w:line="240" w:lineRule="auto"/>
        <w:contextualSpacing/>
        <w:rPr>
          <w:rFonts w:eastAsiaTheme="majorEastAsia" w:cstheme="minorHAnsi"/>
          <w:color w:val="17365D" w:themeColor="text2" w:themeShade="BF"/>
          <w:spacing w:val="5"/>
          <w:kern w:val="28"/>
        </w:rPr>
      </w:pPr>
    </w:p>
    <w:p w:rsidR="003618FE" w:rsidRDefault="003618FE" w:rsidP="003618FE">
      <w:pPr>
        <w:pBdr>
          <w:bottom w:val="single" w:sz="8" w:space="4" w:color="4F81BD" w:themeColor="accent1"/>
        </w:pBdr>
        <w:spacing w:after="300" w:line="240" w:lineRule="auto"/>
        <w:contextualSpacing/>
        <w:rPr>
          <w:rFonts w:eastAsiaTheme="majorEastAsia" w:cstheme="minorHAnsi"/>
          <w:color w:val="17365D" w:themeColor="text2" w:themeShade="BF"/>
          <w:spacing w:val="5"/>
          <w:kern w:val="28"/>
        </w:rPr>
      </w:pPr>
    </w:p>
    <w:p w:rsidR="003618FE" w:rsidRDefault="003618FE" w:rsidP="003618FE">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3618FE" w:rsidRDefault="003618FE" w:rsidP="003618FE">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3618FE" w:rsidRPr="00B90623" w:rsidRDefault="003618FE" w:rsidP="003618FE">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F126BA">
        <w:rPr>
          <w:rFonts w:asciiTheme="majorHAnsi" w:eastAsiaTheme="majorEastAsia" w:hAnsiTheme="majorHAnsi" w:cstheme="majorBidi"/>
          <w:color w:val="17365D" w:themeColor="text2" w:themeShade="BF"/>
          <w:spacing w:val="5"/>
          <w:kern w:val="28"/>
          <w:sz w:val="52"/>
          <w:szCs w:val="52"/>
        </w:rPr>
        <w:lastRenderedPageBreak/>
        <w:t xml:space="preserve">Bilag </w:t>
      </w:r>
      <w:r>
        <w:rPr>
          <w:rFonts w:asciiTheme="majorHAnsi" w:eastAsiaTheme="majorEastAsia" w:hAnsiTheme="majorHAnsi" w:cstheme="majorBidi"/>
          <w:color w:val="17365D" w:themeColor="text2" w:themeShade="BF"/>
          <w:spacing w:val="5"/>
          <w:kern w:val="28"/>
          <w:sz w:val="52"/>
          <w:szCs w:val="52"/>
        </w:rPr>
        <w:t xml:space="preserve">1. Stauning og Hitler </w:t>
      </w:r>
    </w:p>
    <w:p w:rsidR="003618FE" w:rsidRDefault="003618FE" w:rsidP="003618FE"/>
    <w:p w:rsidR="003618FE" w:rsidRDefault="003618FE" w:rsidP="003618FE">
      <w:r>
        <w:t>Den 30. januar 1933 vågner danskerne op til nyheden om, at den danske regering i samarbejde med Venstre har indgået en historisk aftale som sikrer, at den varslede lockout ikke træder i kraft. Det er kanslergadeforliget, der er i hus. Samtidigt kan man i dagens avis læse, at der i Tyskland er valgt en ny rigskansler (statsminister), og hans navn er Adolf Hitler.</w:t>
      </w:r>
    </w:p>
    <w:p w:rsidR="003618FE" w:rsidRDefault="003618FE" w:rsidP="003618FE">
      <w:r>
        <w:t xml:space="preserve">Det er tankevækkende, at mens man i Danmark i januar 1933 laver et stort og bredt forlig mellem socialdemokrater og venstre, så vælger befolkningen i Tyskland og andre steder i Europa en højreorienteret retning. Mens Danmark satser på kompromiser og samarbejde, vælger man i Tyskland noget helt andet. </w:t>
      </w:r>
    </w:p>
    <w:p w:rsidR="003618FE" w:rsidRDefault="003618FE" w:rsidP="003618FE">
      <w:r>
        <w:t>Det I nu skal undersøge er, om der trods forskellene er så stor forskel på Hitler og Stauning og deres måde at føre valgkamp på og deres måde at blive opfattet på af befolkningen.</w:t>
      </w:r>
    </w:p>
    <w:p w:rsidR="003618FE" w:rsidRDefault="003618FE" w:rsidP="003618FE">
      <w:r>
        <w:t>Der er anslået en cirka-tid på, hvor lang tid I skal bruge på den enkelte undersøgelse. I alt er der afsat 3 lektioner til arbejdet. Bagefter skal I lave et produkt, og den er der afsat 2 lektioner til at lave og dele med læreren. Ved alle opgaveformuleringerne er der skrevet ”statsministeren”. Med dette menes der, at I skal undersøge henholdsvis Stauning og Hitler (de er begge statsministre fra 1933)</w:t>
      </w:r>
    </w:p>
    <w:tbl>
      <w:tblPr>
        <w:tblStyle w:val="Tabel-Gitter"/>
        <w:tblW w:w="0" w:type="auto"/>
        <w:tblLook w:val="04A0" w:firstRow="1" w:lastRow="0" w:firstColumn="1" w:lastColumn="0" w:noHBand="0" w:noVBand="1"/>
      </w:tblPr>
      <w:tblGrid>
        <w:gridCol w:w="3259"/>
        <w:gridCol w:w="3259"/>
        <w:gridCol w:w="3260"/>
      </w:tblGrid>
      <w:tr w:rsidR="003618FE" w:rsidTr="009A6283">
        <w:tc>
          <w:tcPr>
            <w:tcW w:w="3259" w:type="dxa"/>
          </w:tcPr>
          <w:p w:rsidR="003618FE" w:rsidRDefault="003618FE" w:rsidP="009A6283"/>
        </w:tc>
        <w:tc>
          <w:tcPr>
            <w:tcW w:w="3259" w:type="dxa"/>
          </w:tcPr>
          <w:p w:rsidR="003618FE" w:rsidRDefault="003618FE" w:rsidP="009A6283">
            <w:r>
              <w:t>Thorvald Stauning</w:t>
            </w:r>
          </w:p>
        </w:tc>
        <w:tc>
          <w:tcPr>
            <w:tcW w:w="3260" w:type="dxa"/>
          </w:tcPr>
          <w:p w:rsidR="003618FE" w:rsidRDefault="003618FE" w:rsidP="009A6283">
            <w:r>
              <w:t>Adolf Hitler</w:t>
            </w:r>
          </w:p>
        </w:tc>
      </w:tr>
      <w:tr w:rsidR="003618FE" w:rsidTr="009A6283">
        <w:tc>
          <w:tcPr>
            <w:tcW w:w="3259" w:type="dxa"/>
          </w:tcPr>
          <w:p w:rsidR="003618FE" w:rsidRDefault="003618FE" w:rsidP="009A6283">
            <w:r>
              <w:t>Baggrund</w:t>
            </w:r>
          </w:p>
        </w:tc>
        <w:tc>
          <w:tcPr>
            <w:tcW w:w="3259" w:type="dxa"/>
          </w:tcPr>
          <w:p w:rsidR="003618FE" w:rsidRDefault="003618FE" w:rsidP="009A6283"/>
        </w:tc>
        <w:tc>
          <w:tcPr>
            <w:tcW w:w="3260" w:type="dxa"/>
          </w:tcPr>
          <w:p w:rsidR="003618FE" w:rsidRDefault="003618FE" w:rsidP="009A6283"/>
        </w:tc>
      </w:tr>
      <w:tr w:rsidR="003618FE" w:rsidTr="009A6283">
        <w:tc>
          <w:tcPr>
            <w:tcW w:w="3259" w:type="dxa"/>
          </w:tcPr>
          <w:p w:rsidR="003618FE" w:rsidRDefault="003618FE" w:rsidP="009A6283">
            <w:r>
              <w:t>Valgplakater</w:t>
            </w:r>
          </w:p>
        </w:tc>
        <w:tc>
          <w:tcPr>
            <w:tcW w:w="3259" w:type="dxa"/>
          </w:tcPr>
          <w:p w:rsidR="003618FE" w:rsidRDefault="003618FE" w:rsidP="009A6283"/>
        </w:tc>
        <w:tc>
          <w:tcPr>
            <w:tcW w:w="3260" w:type="dxa"/>
          </w:tcPr>
          <w:p w:rsidR="003618FE" w:rsidRDefault="003618FE" w:rsidP="009A6283"/>
        </w:tc>
      </w:tr>
      <w:tr w:rsidR="003618FE" w:rsidTr="009A6283">
        <w:tc>
          <w:tcPr>
            <w:tcW w:w="3259" w:type="dxa"/>
          </w:tcPr>
          <w:p w:rsidR="003618FE" w:rsidRDefault="003618FE" w:rsidP="009A6283">
            <w:r>
              <w:t>Politiske sange</w:t>
            </w:r>
          </w:p>
        </w:tc>
        <w:tc>
          <w:tcPr>
            <w:tcW w:w="3259" w:type="dxa"/>
          </w:tcPr>
          <w:p w:rsidR="003618FE" w:rsidRDefault="003618FE" w:rsidP="009A6283"/>
        </w:tc>
        <w:tc>
          <w:tcPr>
            <w:tcW w:w="3260" w:type="dxa"/>
          </w:tcPr>
          <w:p w:rsidR="003618FE" w:rsidRDefault="003618FE" w:rsidP="009A6283"/>
        </w:tc>
      </w:tr>
      <w:tr w:rsidR="003618FE" w:rsidTr="009A6283">
        <w:tc>
          <w:tcPr>
            <w:tcW w:w="3259" w:type="dxa"/>
          </w:tcPr>
          <w:p w:rsidR="003618FE" w:rsidRDefault="003618FE" w:rsidP="009A6283">
            <w:r>
              <w:t>Befolkningens syn på deres leder</w:t>
            </w:r>
          </w:p>
        </w:tc>
        <w:tc>
          <w:tcPr>
            <w:tcW w:w="3259" w:type="dxa"/>
          </w:tcPr>
          <w:p w:rsidR="003618FE" w:rsidRDefault="003618FE" w:rsidP="009A6283"/>
        </w:tc>
        <w:tc>
          <w:tcPr>
            <w:tcW w:w="3260" w:type="dxa"/>
          </w:tcPr>
          <w:p w:rsidR="003618FE" w:rsidRDefault="003618FE" w:rsidP="009A6283"/>
        </w:tc>
      </w:tr>
      <w:tr w:rsidR="003618FE" w:rsidTr="009A6283">
        <w:tc>
          <w:tcPr>
            <w:tcW w:w="3259" w:type="dxa"/>
          </w:tcPr>
          <w:p w:rsidR="003618FE" w:rsidRDefault="003618FE" w:rsidP="009A6283">
            <w:r>
              <w:t>Styreform</w:t>
            </w:r>
          </w:p>
        </w:tc>
        <w:tc>
          <w:tcPr>
            <w:tcW w:w="3259" w:type="dxa"/>
          </w:tcPr>
          <w:p w:rsidR="003618FE" w:rsidRDefault="003618FE" w:rsidP="009A6283"/>
        </w:tc>
        <w:tc>
          <w:tcPr>
            <w:tcW w:w="3260" w:type="dxa"/>
          </w:tcPr>
          <w:p w:rsidR="003618FE" w:rsidRDefault="003618FE" w:rsidP="009A6283"/>
        </w:tc>
      </w:tr>
      <w:tr w:rsidR="003618FE" w:rsidTr="009A6283">
        <w:tc>
          <w:tcPr>
            <w:tcW w:w="3259" w:type="dxa"/>
          </w:tcPr>
          <w:p w:rsidR="003618FE" w:rsidRDefault="003618FE" w:rsidP="009A6283">
            <w:r>
              <w:t>Synet på statsministeren i dag</w:t>
            </w:r>
          </w:p>
        </w:tc>
        <w:tc>
          <w:tcPr>
            <w:tcW w:w="3259" w:type="dxa"/>
          </w:tcPr>
          <w:p w:rsidR="003618FE" w:rsidRDefault="003618FE" w:rsidP="009A6283"/>
        </w:tc>
        <w:tc>
          <w:tcPr>
            <w:tcW w:w="3260" w:type="dxa"/>
          </w:tcPr>
          <w:p w:rsidR="003618FE" w:rsidRDefault="003618FE" w:rsidP="009A6283"/>
        </w:tc>
      </w:tr>
      <w:tr w:rsidR="003618FE" w:rsidTr="009A6283">
        <w:tc>
          <w:tcPr>
            <w:tcW w:w="3259" w:type="dxa"/>
          </w:tcPr>
          <w:p w:rsidR="003618FE" w:rsidRDefault="003618FE" w:rsidP="009A6283">
            <w:r>
              <w:t>Forklaring på synet i dag</w:t>
            </w:r>
          </w:p>
        </w:tc>
        <w:tc>
          <w:tcPr>
            <w:tcW w:w="3259" w:type="dxa"/>
          </w:tcPr>
          <w:p w:rsidR="003618FE" w:rsidRDefault="003618FE" w:rsidP="009A6283"/>
        </w:tc>
        <w:tc>
          <w:tcPr>
            <w:tcW w:w="3260" w:type="dxa"/>
          </w:tcPr>
          <w:p w:rsidR="003618FE" w:rsidRDefault="003618FE" w:rsidP="009A6283"/>
        </w:tc>
      </w:tr>
    </w:tbl>
    <w:p w:rsidR="003618FE" w:rsidRDefault="003618FE" w:rsidP="003618FE"/>
    <w:p w:rsidR="003618FE" w:rsidRDefault="003618FE" w:rsidP="003618FE">
      <w:pPr>
        <w:pStyle w:val="Listeafsnit"/>
        <w:numPr>
          <w:ilvl w:val="0"/>
          <w:numId w:val="5"/>
        </w:numPr>
      </w:pPr>
      <w:r>
        <w:t>Undersøg hvilken barndom og liv de to mænd har haft, før de blev statsministre. Læg vægten på sociale og økonomiske forhold (20 min)</w:t>
      </w:r>
    </w:p>
    <w:p w:rsidR="003618FE" w:rsidRDefault="003618FE" w:rsidP="003618FE">
      <w:pPr>
        <w:pStyle w:val="Listeafsnit"/>
        <w:numPr>
          <w:ilvl w:val="0"/>
          <w:numId w:val="5"/>
        </w:numPr>
      </w:pPr>
      <w:r>
        <w:t>Find valgplakater som indeholder billeder af statsministeren og noget tekst. Lav en analyse af plakaterne og find frem til, hvad deres hovedbudskab er. (20 min)</w:t>
      </w:r>
    </w:p>
    <w:p w:rsidR="003618FE" w:rsidRDefault="003618FE" w:rsidP="003618FE">
      <w:pPr>
        <w:pStyle w:val="Listeafsnit"/>
        <w:numPr>
          <w:ilvl w:val="0"/>
          <w:numId w:val="5"/>
        </w:numPr>
      </w:pPr>
      <w:r>
        <w:t>Undersøg sangenes oprindelse og anvendelse og lav en analyse af indholdet i sangen. Find udtryk for ideologier i sangene (40 min).</w:t>
      </w:r>
    </w:p>
    <w:p w:rsidR="003618FE" w:rsidRDefault="003618FE" w:rsidP="003618FE">
      <w:pPr>
        <w:pStyle w:val="Listeafsnit"/>
        <w:numPr>
          <w:ilvl w:val="1"/>
          <w:numId w:val="4"/>
        </w:numPr>
      </w:pPr>
      <w:r>
        <w:t xml:space="preserve">Lied der </w:t>
      </w:r>
      <w:proofErr w:type="spellStart"/>
      <w:r>
        <w:t>Deutschen</w:t>
      </w:r>
      <w:proofErr w:type="spellEnd"/>
      <w:r>
        <w:t xml:space="preserve">: </w:t>
      </w:r>
      <w:hyperlink r:id="rId6" w:history="1">
        <w:r w:rsidRPr="00B9328D">
          <w:rPr>
            <w:rStyle w:val="Hyperlink"/>
          </w:rPr>
          <w:t>https://da.wikipedia.org/wiki/Lied_der_Deutschen</w:t>
        </w:r>
      </w:hyperlink>
    </w:p>
    <w:p w:rsidR="003618FE" w:rsidRDefault="003618FE" w:rsidP="003618FE">
      <w:pPr>
        <w:pStyle w:val="Listeafsnit"/>
        <w:numPr>
          <w:ilvl w:val="1"/>
          <w:numId w:val="4"/>
        </w:numPr>
      </w:pPr>
      <w:r>
        <w:t xml:space="preserve">Danmark for folket: </w:t>
      </w:r>
      <w:hyperlink r:id="rId7" w:history="1">
        <w:r w:rsidRPr="00EF6CC7">
          <w:rPr>
            <w:rStyle w:val="Hyperlink"/>
          </w:rPr>
          <w:t>http://www.kenielsen.dk/sange/dk_for_folket.asp</w:t>
        </w:r>
      </w:hyperlink>
    </w:p>
    <w:p w:rsidR="003618FE" w:rsidRDefault="003618FE" w:rsidP="003618FE">
      <w:pPr>
        <w:pStyle w:val="Listeafsnit"/>
        <w:numPr>
          <w:ilvl w:val="0"/>
          <w:numId w:val="5"/>
        </w:numPr>
      </w:pPr>
      <w:r>
        <w:t>Undersøg hvad de to statsministre kaldes af befolkningen (10 min)</w:t>
      </w:r>
    </w:p>
    <w:p w:rsidR="003618FE" w:rsidRDefault="003618FE" w:rsidP="003618FE">
      <w:pPr>
        <w:pStyle w:val="Listeafsnit"/>
        <w:numPr>
          <w:ilvl w:val="0"/>
          <w:numId w:val="5"/>
        </w:numPr>
      </w:pPr>
      <w:r>
        <w:t>Undersøg statsministerens syn på styreformer (15 min)</w:t>
      </w:r>
    </w:p>
    <w:p w:rsidR="003618FE" w:rsidRDefault="003618FE" w:rsidP="003618FE">
      <w:pPr>
        <w:pStyle w:val="Listeafsnit"/>
        <w:numPr>
          <w:ilvl w:val="0"/>
          <w:numId w:val="5"/>
        </w:numPr>
      </w:pPr>
      <w:r>
        <w:t>Hvilket syn har vi på statsministeren i dag? (10 min)</w:t>
      </w:r>
    </w:p>
    <w:p w:rsidR="003618FE" w:rsidRDefault="003618FE" w:rsidP="003618FE">
      <w:pPr>
        <w:pStyle w:val="Listeafsnit"/>
        <w:numPr>
          <w:ilvl w:val="0"/>
          <w:numId w:val="5"/>
        </w:numPr>
      </w:pPr>
      <w:r>
        <w:t>Hvorfor har vi dette syn på statsministeren i dag? (20 min)</w:t>
      </w:r>
    </w:p>
    <w:p w:rsidR="002F583E" w:rsidRDefault="002F583E">
      <w:bookmarkStart w:id="0" w:name="_GoBack"/>
      <w:bookmarkEnd w:id="0"/>
    </w:p>
    <w:sectPr w:rsidR="002F583E" w:rsidSect="00A1440F">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82318"/>
    <w:multiLevelType w:val="hybridMultilevel"/>
    <w:tmpl w:val="414A39B0"/>
    <w:lvl w:ilvl="0" w:tplc="179C1B0E">
      <w:start w:val="3"/>
      <w:numFmt w:val="bullet"/>
      <w:lvlText w:val="-"/>
      <w:lvlJc w:val="left"/>
      <w:pPr>
        <w:ind w:left="536" w:hanging="360"/>
      </w:pPr>
      <w:rPr>
        <w:rFonts w:ascii="Calibri" w:eastAsiaTheme="minorHAnsi" w:hAnsi="Calibri" w:cstheme="minorBidi" w:hint="default"/>
      </w:rPr>
    </w:lvl>
    <w:lvl w:ilvl="1" w:tplc="04060003" w:tentative="1">
      <w:start w:val="1"/>
      <w:numFmt w:val="bullet"/>
      <w:lvlText w:val="o"/>
      <w:lvlJc w:val="left"/>
      <w:pPr>
        <w:ind w:left="1256" w:hanging="360"/>
      </w:pPr>
      <w:rPr>
        <w:rFonts w:ascii="Courier New" w:hAnsi="Courier New" w:cs="Courier New" w:hint="default"/>
      </w:rPr>
    </w:lvl>
    <w:lvl w:ilvl="2" w:tplc="04060005" w:tentative="1">
      <w:start w:val="1"/>
      <w:numFmt w:val="bullet"/>
      <w:lvlText w:val=""/>
      <w:lvlJc w:val="left"/>
      <w:pPr>
        <w:ind w:left="1976" w:hanging="360"/>
      </w:pPr>
      <w:rPr>
        <w:rFonts w:ascii="Wingdings" w:hAnsi="Wingdings" w:hint="default"/>
      </w:rPr>
    </w:lvl>
    <w:lvl w:ilvl="3" w:tplc="04060001" w:tentative="1">
      <w:start w:val="1"/>
      <w:numFmt w:val="bullet"/>
      <w:lvlText w:val=""/>
      <w:lvlJc w:val="left"/>
      <w:pPr>
        <w:ind w:left="2696" w:hanging="360"/>
      </w:pPr>
      <w:rPr>
        <w:rFonts w:ascii="Symbol" w:hAnsi="Symbol" w:hint="default"/>
      </w:rPr>
    </w:lvl>
    <w:lvl w:ilvl="4" w:tplc="04060003" w:tentative="1">
      <w:start w:val="1"/>
      <w:numFmt w:val="bullet"/>
      <w:lvlText w:val="o"/>
      <w:lvlJc w:val="left"/>
      <w:pPr>
        <w:ind w:left="3416" w:hanging="360"/>
      </w:pPr>
      <w:rPr>
        <w:rFonts w:ascii="Courier New" w:hAnsi="Courier New" w:cs="Courier New" w:hint="default"/>
      </w:rPr>
    </w:lvl>
    <w:lvl w:ilvl="5" w:tplc="04060005" w:tentative="1">
      <w:start w:val="1"/>
      <w:numFmt w:val="bullet"/>
      <w:lvlText w:val=""/>
      <w:lvlJc w:val="left"/>
      <w:pPr>
        <w:ind w:left="4136" w:hanging="360"/>
      </w:pPr>
      <w:rPr>
        <w:rFonts w:ascii="Wingdings" w:hAnsi="Wingdings" w:hint="default"/>
      </w:rPr>
    </w:lvl>
    <w:lvl w:ilvl="6" w:tplc="04060001" w:tentative="1">
      <w:start w:val="1"/>
      <w:numFmt w:val="bullet"/>
      <w:lvlText w:val=""/>
      <w:lvlJc w:val="left"/>
      <w:pPr>
        <w:ind w:left="4856" w:hanging="360"/>
      </w:pPr>
      <w:rPr>
        <w:rFonts w:ascii="Symbol" w:hAnsi="Symbol" w:hint="default"/>
      </w:rPr>
    </w:lvl>
    <w:lvl w:ilvl="7" w:tplc="04060003" w:tentative="1">
      <w:start w:val="1"/>
      <w:numFmt w:val="bullet"/>
      <w:lvlText w:val="o"/>
      <w:lvlJc w:val="left"/>
      <w:pPr>
        <w:ind w:left="5576" w:hanging="360"/>
      </w:pPr>
      <w:rPr>
        <w:rFonts w:ascii="Courier New" w:hAnsi="Courier New" w:cs="Courier New" w:hint="default"/>
      </w:rPr>
    </w:lvl>
    <w:lvl w:ilvl="8" w:tplc="04060005" w:tentative="1">
      <w:start w:val="1"/>
      <w:numFmt w:val="bullet"/>
      <w:lvlText w:val=""/>
      <w:lvlJc w:val="left"/>
      <w:pPr>
        <w:ind w:left="6296" w:hanging="360"/>
      </w:pPr>
      <w:rPr>
        <w:rFonts w:ascii="Wingdings" w:hAnsi="Wingdings" w:hint="default"/>
      </w:rPr>
    </w:lvl>
  </w:abstractNum>
  <w:abstractNum w:abstractNumId="1">
    <w:nsid w:val="174442E9"/>
    <w:multiLevelType w:val="hybridMultilevel"/>
    <w:tmpl w:val="FE78E78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27A808F4"/>
    <w:multiLevelType w:val="hybridMultilevel"/>
    <w:tmpl w:val="FDD4706E"/>
    <w:lvl w:ilvl="0" w:tplc="FC4CABD8">
      <w:start w:val="7"/>
      <w:numFmt w:val="bullet"/>
      <w:lvlText w:val=""/>
      <w:lvlJc w:val="left"/>
      <w:pPr>
        <w:ind w:left="720" w:hanging="360"/>
      </w:pPr>
      <w:rPr>
        <w:rFonts w:ascii="Symbol" w:eastAsiaTheme="minorHAnsi" w:hAnsi="Symbol"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593061A1"/>
    <w:multiLevelType w:val="hybridMultilevel"/>
    <w:tmpl w:val="673257D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nsid w:val="65E01E6D"/>
    <w:multiLevelType w:val="hybridMultilevel"/>
    <w:tmpl w:val="C270E808"/>
    <w:lvl w:ilvl="0" w:tplc="04060005">
      <w:start w:val="1"/>
      <w:numFmt w:val="bullet"/>
      <w:pStyle w:val="Opstilling-punkttegn"/>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nsid w:val="7D6275E2"/>
    <w:multiLevelType w:val="hybridMultilevel"/>
    <w:tmpl w:val="6004146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8FE"/>
    <w:rsid w:val="002F583E"/>
    <w:rsid w:val="003618F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8FE"/>
  </w:style>
  <w:style w:type="paragraph" w:styleId="Overskrift1">
    <w:name w:val="heading 1"/>
    <w:basedOn w:val="Normal"/>
    <w:next w:val="Normal"/>
    <w:link w:val="Overskrift1Tegn"/>
    <w:uiPriority w:val="9"/>
    <w:qFormat/>
    <w:rsid w:val="003618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3618F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618FE"/>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3618FE"/>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3618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3618FE"/>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3618FE"/>
    <w:rPr>
      <w:rFonts w:eastAsiaTheme="minorEastAsia"/>
      <w:sz w:val="18"/>
      <w:lang w:eastAsia="da-DK"/>
    </w:rPr>
  </w:style>
  <w:style w:type="paragraph" w:styleId="Titel">
    <w:name w:val="Title"/>
    <w:basedOn w:val="Normal"/>
    <w:next w:val="Normal"/>
    <w:link w:val="TitelTegn"/>
    <w:uiPriority w:val="10"/>
    <w:qFormat/>
    <w:rsid w:val="003618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3618FE"/>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uiPriority w:val="34"/>
    <w:qFormat/>
    <w:rsid w:val="003618FE"/>
    <w:pPr>
      <w:ind w:left="720"/>
      <w:contextualSpacing/>
    </w:pPr>
  </w:style>
  <w:style w:type="paragraph" w:styleId="Opstilling-punkttegn">
    <w:name w:val="List Bullet"/>
    <w:basedOn w:val="Normal"/>
    <w:uiPriority w:val="99"/>
    <w:semiHidden/>
    <w:unhideWhenUsed/>
    <w:rsid w:val="003618FE"/>
    <w:pPr>
      <w:numPr>
        <w:numId w:val="1"/>
      </w:numPr>
      <w:contextualSpacing/>
    </w:pPr>
  </w:style>
  <w:style w:type="character" w:styleId="Hyperlink">
    <w:name w:val="Hyperlink"/>
    <w:basedOn w:val="Standardskrifttypeiafsnit"/>
    <w:uiPriority w:val="99"/>
    <w:unhideWhenUsed/>
    <w:rsid w:val="003618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8FE"/>
  </w:style>
  <w:style w:type="paragraph" w:styleId="Overskrift1">
    <w:name w:val="heading 1"/>
    <w:basedOn w:val="Normal"/>
    <w:next w:val="Normal"/>
    <w:link w:val="Overskrift1Tegn"/>
    <w:uiPriority w:val="9"/>
    <w:qFormat/>
    <w:rsid w:val="003618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3618F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618FE"/>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3618FE"/>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3618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3618FE"/>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3618FE"/>
    <w:rPr>
      <w:rFonts w:eastAsiaTheme="minorEastAsia"/>
      <w:sz w:val="18"/>
      <w:lang w:eastAsia="da-DK"/>
    </w:rPr>
  </w:style>
  <w:style w:type="paragraph" w:styleId="Titel">
    <w:name w:val="Title"/>
    <w:basedOn w:val="Normal"/>
    <w:next w:val="Normal"/>
    <w:link w:val="TitelTegn"/>
    <w:uiPriority w:val="10"/>
    <w:qFormat/>
    <w:rsid w:val="003618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3618FE"/>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uiPriority w:val="34"/>
    <w:qFormat/>
    <w:rsid w:val="003618FE"/>
    <w:pPr>
      <w:ind w:left="720"/>
      <w:contextualSpacing/>
    </w:pPr>
  </w:style>
  <w:style w:type="paragraph" w:styleId="Opstilling-punkttegn">
    <w:name w:val="List Bullet"/>
    <w:basedOn w:val="Normal"/>
    <w:uiPriority w:val="99"/>
    <w:semiHidden/>
    <w:unhideWhenUsed/>
    <w:rsid w:val="003618FE"/>
    <w:pPr>
      <w:numPr>
        <w:numId w:val="1"/>
      </w:numPr>
      <w:contextualSpacing/>
    </w:pPr>
  </w:style>
  <w:style w:type="character" w:styleId="Hyperlink">
    <w:name w:val="Hyperlink"/>
    <w:basedOn w:val="Standardskrifttypeiafsnit"/>
    <w:uiPriority w:val="99"/>
    <w:unhideWhenUsed/>
    <w:rsid w:val="003618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kenielsen.dk/sange/dk_for_folket.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wikipedia.org/wiki/Lied_der_Deutsche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744</Words>
  <Characters>4540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Stine Redsted Jørgensen</dc:creator>
  <cp:lastModifiedBy>Stine Redsted Jørgensen</cp:lastModifiedBy>
  <cp:revision>1</cp:revision>
  <dcterms:created xsi:type="dcterms:W3CDTF">2017-05-29T06:38:00Z</dcterms:created>
  <dcterms:modified xsi:type="dcterms:W3CDTF">2017-05-29T06:39:00Z</dcterms:modified>
</cp:coreProperties>
</file>